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6A595DDE" w14:textId="77777777" w:rsidTr="00881D79">
        <w:trPr>
          <w:trHeight w:val="1169"/>
        </w:trPr>
        <w:tc>
          <w:tcPr>
            <w:tcW w:w="9558" w:type="dxa"/>
          </w:tcPr>
          <w:p w14:paraId="222B188B" w14:textId="77777777" w:rsidR="00FA0752" w:rsidRPr="0038714C" w:rsidRDefault="00FA0752" w:rsidP="00FA0752">
            <w:pPr>
              <w:jc w:val="center"/>
              <w:rPr>
                <w:b/>
                <w:szCs w:val="24"/>
              </w:rPr>
            </w:pPr>
            <w:r>
              <w:rPr>
                <w:noProof/>
                <w:color w:val="0000FF"/>
              </w:rPr>
              <w:drawing>
                <wp:inline distT="0" distB="0" distL="0" distR="0" wp14:anchorId="2B7E4E1A" wp14:editId="2786FDD5">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31A8A6C1" w14:textId="77777777" w:rsidTr="00881D79">
        <w:trPr>
          <w:trHeight w:val="791"/>
        </w:trPr>
        <w:tc>
          <w:tcPr>
            <w:tcW w:w="9558" w:type="dxa"/>
          </w:tcPr>
          <w:p w14:paraId="0172F188" w14:textId="126E0360" w:rsidR="00FA0752" w:rsidRPr="007E427D" w:rsidRDefault="003455F7" w:rsidP="00423E65">
            <w:pPr>
              <w:rPr>
                <w:b/>
                <w:sz w:val="44"/>
                <w:szCs w:val="44"/>
              </w:rPr>
            </w:pPr>
            <w:r>
              <w:rPr>
                <w:b/>
                <w:sz w:val="44"/>
                <w:szCs w:val="44"/>
              </w:rPr>
              <w:t>A6</w:t>
            </w:r>
            <w:r w:rsidR="00CC3C98">
              <w:rPr>
                <w:b/>
                <w:sz w:val="44"/>
                <w:szCs w:val="44"/>
              </w:rPr>
              <w:t>1.</w:t>
            </w:r>
            <w:r w:rsidR="005B579E" w:rsidRPr="00096EF7">
              <w:rPr>
                <w:b/>
                <w:color w:val="FF0000"/>
                <w:sz w:val="44"/>
                <w:szCs w:val="44"/>
              </w:rPr>
              <w:t>4</w:t>
            </w:r>
            <w:r w:rsidR="005B579E">
              <w:rPr>
                <w:b/>
                <w:sz w:val="44"/>
                <w:szCs w:val="44"/>
              </w:rPr>
              <w:t xml:space="preserve"> </w:t>
            </w:r>
            <w:r w:rsidR="005B579E" w:rsidRPr="005B579E">
              <w:rPr>
                <w:b/>
                <w:strike/>
                <w:szCs w:val="24"/>
              </w:rPr>
              <w:t>A61.18</w:t>
            </w:r>
            <w:r w:rsidR="00F27F9F" w:rsidRPr="007E427D">
              <w:rPr>
                <w:b/>
                <w:sz w:val="44"/>
                <w:szCs w:val="44"/>
              </w:rPr>
              <w:t xml:space="preserve"> </w:t>
            </w:r>
            <w:r w:rsidR="00423E65">
              <w:rPr>
                <w:b/>
                <w:sz w:val="48"/>
                <w:szCs w:val="48"/>
              </w:rPr>
              <w:t xml:space="preserve">Teaching Enhancement </w:t>
            </w:r>
            <w:r>
              <w:rPr>
                <w:b/>
                <w:sz w:val="48"/>
                <w:szCs w:val="48"/>
              </w:rPr>
              <w:t>Committee</w:t>
            </w:r>
          </w:p>
        </w:tc>
      </w:tr>
      <w:tr w:rsidR="00FA0752" w14:paraId="043E6FB8" w14:textId="77777777" w:rsidTr="00881D79">
        <w:trPr>
          <w:trHeight w:val="45"/>
        </w:trPr>
        <w:tc>
          <w:tcPr>
            <w:tcW w:w="9558" w:type="dxa"/>
          </w:tcPr>
          <w:p w14:paraId="2E12045F" w14:textId="77777777" w:rsidR="00FA0752" w:rsidRPr="00FA0752" w:rsidRDefault="00FA0752" w:rsidP="007E54C8">
            <w:pPr>
              <w:rPr>
                <w:szCs w:val="24"/>
              </w:rPr>
            </w:pPr>
            <w:r w:rsidRPr="00FA0752">
              <w:rPr>
                <w:szCs w:val="24"/>
              </w:rPr>
              <w:t>Approved By:   Faculty Senate</w:t>
            </w:r>
          </w:p>
        </w:tc>
      </w:tr>
      <w:tr w:rsidR="00FA0752" w14:paraId="2F719369" w14:textId="77777777" w:rsidTr="00881D79">
        <w:trPr>
          <w:trHeight w:val="263"/>
        </w:trPr>
        <w:tc>
          <w:tcPr>
            <w:tcW w:w="9558" w:type="dxa"/>
          </w:tcPr>
          <w:p w14:paraId="6A508E57" w14:textId="31ACAA1E" w:rsidR="00FA0752" w:rsidRPr="00FA0752" w:rsidRDefault="00FA0752" w:rsidP="00423E65">
            <w:pPr>
              <w:rPr>
                <w:i/>
                <w:color w:val="FF0000"/>
                <w:szCs w:val="24"/>
                <w:u w:val="single"/>
              </w:rPr>
            </w:pPr>
            <w:r w:rsidRPr="00FA0752">
              <w:rPr>
                <w:szCs w:val="24"/>
              </w:rPr>
              <w:t xml:space="preserve">Last Updated:   </w:t>
            </w:r>
            <w:r w:rsidR="00F11736">
              <w:rPr>
                <w:b/>
                <w:i/>
                <w:color w:val="FF0000"/>
                <w:szCs w:val="24"/>
              </w:rPr>
              <w:t xml:space="preserve">Draft </w:t>
            </w:r>
            <w:r w:rsidR="000D37A3">
              <w:rPr>
                <w:b/>
                <w:i/>
                <w:color w:val="FF0000"/>
                <w:szCs w:val="24"/>
              </w:rPr>
              <w:t>2/10</w:t>
            </w:r>
            <w:r w:rsidR="00760A1E">
              <w:rPr>
                <w:b/>
                <w:i/>
                <w:color w:val="FF0000"/>
                <w:szCs w:val="24"/>
              </w:rPr>
              <w:t>/20</w:t>
            </w:r>
          </w:p>
        </w:tc>
      </w:tr>
      <w:tr w:rsidR="00FA0752" w14:paraId="74F0F48F" w14:textId="77777777" w:rsidTr="00881D79">
        <w:trPr>
          <w:trHeight w:val="278"/>
        </w:trPr>
        <w:tc>
          <w:tcPr>
            <w:tcW w:w="9558" w:type="dxa"/>
          </w:tcPr>
          <w:p w14:paraId="3330DF3D" w14:textId="77777777" w:rsidR="00FA0752" w:rsidRPr="00FA0752" w:rsidRDefault="00FA0752" w:rsidP="00423E65">
            <w:pPr>
              <w:rPr>
                <w:szCs w:val="24"/>
              </w:rPr>
            </w:pPr>
            <w:r w:rsidRPr="00FA0752">
              <w:rPr>
                <w:szCs w:val="24"/>
              </w:rPr>
              <w:t xml:space="preserve">Responsible Faculty Committee:  </w:t>
            </w:r>
            <w:r w:rsidR="00423E65">
              <w:rPr>
                <w:szCs w:val="24"/>
              </w:rPr>
              <w:t>Teaching Enhancement</w:t>
            </w:r>
            <w:r w:rsidR="00F11736">
              <w:rPr>
                <w:szCs w:val="24"/>
              </w:rPr>
              <w:t xml:space="preserve"> Committee</w:t>
            </w:r>
          </w:p>
        </w:tc>
      </w:tr>
      <w:tr w:rsidR="00FA0752" w14:paraId="5222AC06" w14:textId="77777777" w:rsidTr="00881D79">
        <w:trPr>
          <w:trHeight w:val="277"/>
        </w:trPr>
        <w:tc>
          <w:tcPr>
            <w:tcW w:w="9558" w:type="dxa"/>
          </w:tcPr>
          <w:p w14:paraId="5AE30423" w14:textId="77777777" w:rsidR="00FA0752" w:rsidRPr="00FA0752" w:rsidRDefault="00FA0752" w:rsidP="001D3280">
            <w:pPr>
              <w:rPr>
                <w:szCs w:val="24"/>
                <w:u w:val="single"/>
              </w:rPr>
            </w:pPr>
            <w:r w:rsidRPr="00FA0752">
              <w:rPr>
                <w:szCs w:val="24"/>
              </w:rPr>
              <w:t>Office Responsible for Administration</w:t>
            </w:r>
            <w:r w:rsidR="003455F7">
              <w:rPr>
                <w:szCs w:val="24"/>
              </w:rPr>
              <w:t>:</w:t>
            </w:r>
            <w:r w:rsidR="003455F7">
              <w:rPr>
                <w:b/>
                <w:szCs w:val="24"/>
              </w:rPr>
              <w:t xml:space="preserve"> </w:t>
            </w:r>
            <w:r w:rsidR="003455F7" w:rsidRPr="003455F7">
              <w:rPr>
                <w:szCs w:val="24"/>
              </w:rPr>
              <w:t>Office of the University Secretary</w:t>
            </w:r>
          </w:p>
        </w:tc>
      </w:tr>
    </w:tbl>
    <w:p w14:paraId="5E7189B2" w14:textId="77777777" w:rsidR="008D2390" w:rsidRDefault="008D2390" w:rsidP="008D2390">
      <w:pPr>
        <w:pStyle w:val="NormalWeb"/>
        <w:spacing w:before="0" w:beforeAutospacing="0" w:after="0" w:afterAutospacing="0"/>
        <w:rPr>
          <w:color w:val="7030A0"/>
        </w:rPr>
      </w:pPr>
      <w:r w:rsidRPr="00A16D2A">
        <w:rPr>
          <w:b/>
        </w:rPr>
        <w:t>Legend</w:t>
      </w:r>
      <w:r w:rsidRPr="00F0778B">
        <w:t xml:space="preserve"> </w:t>
      </w:r>
      <w:r w:rsidRPr="00F34DC8">
        <w:t xml:space="preserve">Proposed Additions are highlighted in </w:t>
      </w:r>
      <w:r w:rsidRPr="00F34DC8">
        <w:rPr>
          <w:color w:val="FF0000"/>
          <w:u w:val="single"/>
        </w:rPr>
        <w:t>red</w:t>
      </w:r>
      <w:r w:rsidRPr="00F34DC8">
        <w:t xml:space="preserve"> and proposed deletions are in </w:t>
      </w:r>
      <w:r w:rsidRPr="00F34DC8">
        <w:rPr>
          <w:strike/>
          <w:sz w:val="20"/>
          <w:szCs w:val="20"/>
        </w:rPr>
        <w:t>strikeout</w:t>
      </w:r>
      <w:r w:rsidRPr="00F34DC8">
        <w:t>.</w:t>
      </w:r>
      <w:r w:rsidRPr="00F34DC8">
        <w:rPr>
          <w:color w:val="7030A0"/>
        </w:rPr>
        <w:t xml:space="preserve">  </w:t>
      </w:r>
    </w:p>
    <w:p w14:paraId="56EFD396" w14:textId="77777777" w:rsidR="00090D21" w:rsidRDefault="00090D21"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58E67F89" w14:textId="77777777" w:rsidTr="00277F1F">
        <w:tc>
          <w:tcPr>
            <w:tcW w:w="9576" w:type="dxa"/>
            <w:shd w:val="clear" w:color="auto" w:fill="EEECE1" w:themeFill="background2"/>
          </w:tcPr>
          <w:p w14:paraId="64317871" w14:textId="77777777" w:rsidR="00526C8D" w:rsidRPr="00096EF7" w:rsidRDefault="00526C8D" w:rsidP="001B43D5">
            <w:pPr>
              <w:rPr>
                <w:rFonts w:asciiTheme="minorHAnsi" w:eastAsia="Times New Roman" w:hAnsiTheme="minorHAnsi" w:cs="Times New Roman"/>
                <w:b/>
                <w:color w:val="FF0000"/>
                <w:szCs w:val="24"/>
              </w:rPr>
            </w:pPr>
            <w:r w:rsidRPr="00096EF7">
              <w:rPr>
                <w:rFonts w:asciiTheme="minorHAnsi" w:eastAsia="Times New Roman" w:hAnsiTheme="minorHAnsi" w:cs="Times New Roman"/>
                <w:szCs w:val="24"/>
              </w:rPr>
              <w:t>Revisions to the Policy Rationale, Policy Statement,</w:t>
            </w:r>
            <w:r w:rsidR="001B43D5" w:rsidRPr="00096EF7">
              <w:rPr>
                <w:rFonts w:asciiTheme="minorHAnsi" w:eastAsia="Times New Roman" w:hAnsiTheme="minorHAnsi" w:cs="Times New Roman"/>
                <w:szCs w:val="24"/>
              </w:rPr>
              <w:t xml:space="preserve"> and </w:t>
            </w:r>
            <w:r w:rsidRPr="00096EF7">
              <w:rPr>
                <w:rFonts w:asciiTheme="minorHAnsi" w:eastAsia="Times New Roman" w:hAnsiTheme="minorHAnsi" w:cs="Times New Roman"/>
                <w:szCs w:val="24"/>
              </w:rPr>
              <w:t>Applicability sections of this document must be approved by the full Faculty Senate.</w:t>
            </w:r>
          </w:p>
        </w:tc>
      </w:tr>
    </w:tbl>
    <w:p w14:paraId="1DB7879C"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5F3762FC" w14:textId="77777777" w:rsidTr="007A3F8E">
        <w:tc>
          <w:tcPr>
            <w:tcW w:w="9576" w:type="dxa"/>
            <w:tcBorders>
              <w:left w:val="nil"/>
              <w:right w:val="nil"/>
            </w:tcBorders>
          </w:tcPr>
          <w:p w14:paraId="24DA212C" w14:textId="77777777" w:rsidR="0016712C" w:rsidRPr="0038714C" w:rsidRDefault="0016712C" w:rsidP="007A3F8E">
            <w:pPr>
              <w:jc w:val="center"/>
              <w:rPr>
                <w:sz w:val="32"/>
                <w:szCs w:val="32"/>
              </w:rPr>
            </w:pPr>
            <w:r>
              <w:rPr>
                <w:sz w:val="32"/>
                <w:szCs w:val="32"/>
              </w:rPr>
              <w:t>POLICY RATIONAL</w:t>
            </w:r>
            <w:r w:rsidR="007636FD">
              <w:rPr>
                <w:sz w:val="32"/>
                <w:szCs w:val="32"/>
              </w:rPr>
              <w:t>E</w:t>
            </w:r>
          </w:p>
        </w:tc>
      </w:tr>
    </w:tbl>
    <w:p w14:paraId="6ADD3AC1" w14:textId="77777777" w:rsidR="00B70C62" w:rsidRDefault="00B70C62" w:rsidP="00B70C62">
      <w:pPr>
        <w:pStyle w:val="Default"/>
      </w:pPr>
    </w:p>
    <w:p w14:paraId="4423FCD1" w14:textId="4E1FB8D2" w:rsidR="00F11736" w:rsidRPr="00423E65" w:rsidRDefault="00F11736" w:rsidP="00B70C62">
      <w:pPr>
        <w:pStyle w:val="Default"/>
        <w:rPr>
          <w:rFonts w:asciiTheme="minorHAnsi" w:hAnsiTheme="minorHAnsi" w:cstheme="minorHAnsi"/>
          <w:color w:val="FF0000"/>
          <w:u w:val="single"/>
        </w:rPr>
      </w:pPr>
      <w:r w:rsidRPr="00423E65">
        <w:rPr>
          <w:rFonts w:asciiTheme="minorHAnsi" w:hAnsiTheme="minorHAnsi" w:cstheme="minorHAnsi"/>
          <w:color w:val="FF0000"/>
          <w:u w:val="single"/>
        </w:rPr>
        <w:t xml:space="preserve">The </w:t>
      </w:r>
      <w:r w:rsidR="00423E65" w:rsidRPr="00423E65">
        <w:rPr>
          <w:color w:val="FF0000"/>
          <w:u w:val="single"/>
        </w:rPr>
        <w:t xml:space="preserve">Teaching Enhancement </w:t>
      </w:r>
      <w:r w:rsidRPr="00423E65">
        <w:rPr>
          <w:rFonts w:asciiTheme="minorHAnsi" w:hAnsiTheme="minorHAnsi" w:cstheme="minorHAnsi"/>
          <w:color w:val="FF0000"/>
          <w:u w:val="single"/>
        </w:rPr>
        <w:t>Committee</w:t>
      </w:r>
      <w:r w:rsidR="00462A65">
        <w:rPr>
          <w:rFonts w:asciiTheme="minorHAnsi" w:hAnsiTheme="minorHAnsi" w:cstheme="minorHAnsi"/>
          <w:color w:val="FF0000"/>
          <w:u w:val="single"/>
        </w:rPr>
        <w:t xml:space="preserve"> </w:t>
      </w:r>
      <w:r w:rsidRPr="00423E65">
        <w:rPr>
          <w:rFonts w:asciiTheme="minorHAnsi" w:hAnsiTheme="minorHAnsi" w:cstheme="minorHAnsi"/>
          <w:color w:val="FF0000"/>
          <w:u w:val="single"/>
        </w:rPr>
        <w:t xml:space="preserve">is </w:t>
      </w:r>
      <w:r w:rsidR="00431EC7" w:rsidRPr="00423E65">
        <w:rPr>
          <w:rFonts w:asciiTheme="minorHAnsi" w:hAnsiTheme="minorHAnsi" w:cstheme="minorHAnsi"/>
          <w:color w:val="FF0000"/>
          <w:u w:val="single"/>
        </w:rPr>
        <w:t xml:space="preserve">one of </w:t>
      </w:r>
      <w:r w:rsidR="005B579E" w:rsidRPr="00096EF7">
        <w:rPr>
          <w:rFonts w:asciiTheme="minorHAnsi" w:hAnsiTheme="minorHAnsi" w:cstheme="minorHAnsi"/>
          <w:color w:val="FF0000"/>
          <w:u w:val="single"/>
        </w:rPr>
        <w:t>four (4)</w:t>
      </w:r>
      <w:r w:rsidR="00CC3C98" w:rsidRPr="00096EF7">
        <w:rPr>
          <w:rFonts w:asciiTheme="minorHAnsi" w:hAnsiTheme="minorHAnsi" w:cstheme="minorHAnsi"/>
          <w:color w:val="FF0000"/>
          <w:u w:val="single"/>
        </w:rPr>
        <w:t xml:space="preserve"> </w:t>
      </w:r>
      <w:r w:rsidR="00431EC7" w:rsidRPr="00423E65">
        <w:rPr>
          <w:rFonts w:asciiTheme="minorHAnsi" w:hAnsiTheme="minorHAnsi" w:cstheme="minorHAnsi"/>
          <w:color w:val="FF0000"/>
          <w:u w:val="single"/>
        </w:rPr>
        <w:t xml:space="preserve">committees that comprise the Faculty Senate </w:t>
      </w:r>
      <w:r w:rsidR="00CC3C98" w:rsidRPr="00423E65">
        <w:rPr>
          <w:rFonts w:asciiTheme="minorHAnsi" w:hAnsiTheme="minorHAnsi" w:cstheme="minorHAnsi"/>
          <w:color w:val="FF0000"/>
          <w:u w:val="single"/>
        </w:rPr>
        <w:t>Academic</w:t>
      </w:r>
      <w:r w:rsidR="00431EC7" w:rsidRPr="00423E65">
        <w:rPr>
          <w:rFonts w:asciiTheme="minorHAnsi" w:hAnsiTheme="minorHAnsi" w:cstheme="minorHAnsi"/>
          <w:strike/>
          <w:color w:val="FF0000"/>
          <w:sz w:val="20"/>
          <w:szCs w:val="20"/>
          <w:u w:val="single"/>
        </w:rPr>
        <w:t xml:space="preserve"> </w:t>
      </w:r>
      <w:r w:rsidR="00431EC7" w:rsidRPr="00423E65">
        <w:rPr>
          <w:rFonts w:asciiTheme="minorHAnsi" w:hAnsiTheme="minorHAnsi" w:cstheme="minorHAnsi"/>
          <w:color w:val="FF0000"/>
          <w:u w:val="single"/>
        </w:rPr>
        <w:t xml:space="preserve">Council, which </w:t>
      </w:r>
      <w:r w:rsidR="00575B41" w:rsidRPr="00423E65">
        <w:rPr>
          <w:rFonts w:asciiTheme="minorHAnsi" w:hAnsiTheme="minorHAnsi" w:cs="Arial"/>
          <w:color w:val="FF0000"/>
          <w:u w:val="single"/>
        </w:rPr>
        <w:t xml:space="preserve">is charged </w:t>
      </w:r>
      <w:r w:rsidR="000D37A3">
        <w:rPr>
          <w:rFonts w:asciiTheme="minorHAnsi" w:hAnsiTheme="minorHAnsi" w:cs="Arial"/>
          <w:color w:val="FF0000"/>
          <w:u w:val="single"/>
        </w:rPr>
        <w:t xml:space="preserve">with </w:t>
      </w:r>
      <w:r w:rsidR="00CC3C98" w:rsidRPr="00423E65">
        <w:rPr>
          <w:rFonts w:asciiTheme="minorHAnsi" w:hAnsiTheme="minorHAnsi" w:cs="Arial"/>
          <w:color w:val="FF0000"/>
          <w:u w:val="single"/>
        </w:rPr>
        <w:t xml:space="preserve">oversight of the teaching and curricula of the University of New Mexico (UNM) including the undergraduate, graduate, and professional levels. </w:t>
      </w:r>
    </w:p>
    <w:tbl>
      <w:tblPr>
        <w:tblStyle w:val="TableGrid"/>
        <w:tblW w:w="0" w:type="auto"/>
        <w:tblLook w:val="04A0" w:firstRow="1" w:lastRow="0" w:firstColumn="1" w:lastColumn="0" w:noHBand="0" w:noVBand="1"/>
      </w:tblPr>
      <w:tblGrid>
        <w:gridCol w:w="9360"/>
      </w:tblGrid>
      <w:tr w:rsidR="00894577" w:rsidRPr="0038714C" w14:paraId="1ECAA188" w14:textId="77777777" w:rsidTr="00D13537">
        <w:tc>
          <w:tcPr>
            <w:tcW w:w="9576" w:type="dxa"/>
            <w:tcBorders>
              <w:left w:val="nil"/>
              <w:right w:val="nil"/>
            </w:tcBorders>
          </w:tcPr>
          <w:p w14:paraId="33A6BDC3" w14:textId="77777777" w:rsidR="00894577" w:rsidRPr="0038714C" w:rsidRDefault="00894577" w:rsidP="00D13537">
            <w:pPr>
              <w:jc w:val="center"/>
              <w:rPr>
                <w:sz w:val="32"/>
                <w:szCs w:val="32"/>
              </w:rPr>
            </w:pPr>
            <w:r>
              <w:rPr>
                <w:sz w:val="32"/>
                <w:szCs w:val="32"/>
              </w:rPr>
              <w:t>POLICY STATEMENT</w:t>
            </w:r>
          </w:p>
        </w:tc>
      </w:tr>
    </w:tbl>
    <w:p w14:paraId="5EA3A104" w14:textId="77777777" w:rsidR="00462A65" w:rsidRPr="00096EF7" w:rsidRDefault="00423E65" w:rsidP="00462A65">
      <w:pPr>
        <w:spacing w:before="100" w:beforeAutospacing="1" w:after="100" w:afterAutospacing="1" w:line="240" w:lineRule="auto"/>
        <w:rPr>
          <w:rFonts w:asciiTheme="minorHAnsi" w:eastAsia="Times New Roman" w:hAnsiTheme="minorHAnsi" w:cs="Times New Roman"/>
          <w:szCs w:val="24"/>
        </w:rPr>
      </w:pPr>
      <w:r w:rsidRPr="00096EF7">
        <w:rPr>
          <w:rFonts w:asciiTheme="minorHAnsi" w:eastAsia="Times New Roman" w:hAnsiTheme="minorHAnsi" w:cs="Times New Roman"/>
          <w:szCs w:val="24"/>
        </w:rPr>
        <w:t xml:space="preserve">The purpose of the Teaching Enhancement Committee </w:t>
      </w:r>
      <w:r w:rsidR="00462A65" w:rsidRPr="00096EF7">
        <w:rPr>
          <w:rFonts w:asciiTheme="minorHAnsi" w:eastAsia="Times New Roman" w:hAnsiTheme="minorHAnsi" w:cs="Times New Roman"/>
          <w:szCs w:val="24"/>
        </w:rPr>
        <w:t xml:space="preserve">(TEC) </w:t>
      </w:r>
      <w:r w:rsidRPr="00096EF7">
        <w:rPr>
          <w:rFonts w:asciiTheme="minorHAnsi" w:eastAsia="Times New Roman" w:hAnsiTheme="minorHAnsi" w:cs="Times New Roman"/>
          <w:szCs w:val="24"/>
        </w:rPr>
        <w:t xml:space="preserve">shall be to encourage and support quality teaching and its funding as the primary role of </w:t>
      </w:r>
      <w:r w:rsidR="00462A65" w:rsidRPr="00096EF7">
        <w:rPr>
          <w:rFonts w:asciiTheme="minorHAnsi" w:eastAsia="Times New Roman" w:hAnsiTheme="minorHAnsi" w:cs="Times New Roman"/>
          <w:szCs w:val="24"/>
        </w:rPr>
        <w:t>UNM</w:t>
      </w:r>
      <w:r w:rsidRPr="00096EF7">
        <w:rPr>
          <w:rFonts w:asciiTheme="minorHAnsi" w:eastAsia="Times New Roman" w:hAnsiTheme="minorHAnsi" w:cs="Times New Roman"/>
          <w:szCs w:val="24"/>
        </w:rPr>
        <w:t xml:space="preserve">, including all its established units. The TEC will in no way infringe upon the academic freedom of faculty members in searching for and imparting knowledge. The functions of the </w:t>
      </w:r>
      <w:r w:rsidR="00462A65" w:rsidRPr="00096EF7">
        <w:rPr>
          <w:rFonts w:asciiTheme="minorHAnsi" w:eastAsia="Times New Roman" w:hAnsiTheme="minorHAnsi" w:cs="Times New Roman"/>
          <w:szCs w:val="24"/>
        </w:rPr>
        <w:t>C</w:t>
      </w:r>
      <w:r w:rsidRPr="00096EF7">
        <w:rPr>
          <w:rFonts w:asciiTheme="minorHAnsi" w:eastAsia="Times New Roman" w:hAnsiTheme="minorHAnsi" w:cs="Times New Roman"/>
          <w:szCs w:val="24"/>
        </w:rPr>
        <w:t xml:space="preserve">ommittee shall include, but not be limited to: </w:t>
      </w:r>
    </w:p>
    <w:p w14:paraId="466502A6" w14:textId="2925DA6C" w:rsidR="00462A65" w:rsidRPr="00096EF7" w:rsidRDefault="00462A65" w:rsidP="00462A65">
      <w:pPr>
        <w:spacing w:before="100" w:beforeAutospacing="1" w:after="100" w:afterAutospacing="1" w:line="240" w:lineRule="auto"/>
        <w:rPr>
          <w:rFonts w:asciiTheme="minorHAnsi" w:eastAsia="Times New Roman" w:hAnsiTheme="minorHAnsi" w:cs="Times New Roman"/>
          <w:szCs w:val="24"/>
        </w:rPr>
      </w:pPr>
      <w:r w:rsidRPr="00096EF7">
        <w:rPr>
          <w:rFonts w:asciiTheme="minorHAnsi" w:eastAsia="Times New Roman" w:hAnsiTheme="minorHAnsi" w:cs="Times New Roman"/>
          <w:szCs w:val="24"/>
        </w:rPr>
        <w:t xml:space="preserve">(1) </w:t>
      </w:r>
      <w:r w:rsidR="00423E65" w:rsidRPr="00096EF7">
        <w:rPr>
          <w:rFonts w:asciiTheme="minorHAnsi" w:eastAsia="Times New Roman" w:hAnsiTheme="minorHAnsi" w:cs="Times New Roman"/>
          <w:szCs w:val="24"/>
        </w:rPr>
        <w:t>initiating, formulating</w:t>
      </w:r>
      <w:r w:rsidR="00664248">
        <w:rPr>
          <w:rFonts w:asciiTheme="minorHAnsi" w:eastAsia="Times New Roman" w:hAnsiTheme="minorHAnsi" w:cs="Times New Roman"/>
          <w:szCs w:val="24"/>
        </w:rPr>
        <w:t>,</w:t>
      </w:r>
      <w:r w:rsidR="00423E65" w:rsidRPr="00096EF7">
        <w:rPr>
          <w:rFonts w:asciiTheme="minorHAnsi" w:eastAsia="Times New Roman" w:hAnsiTheme="minorHAnsi" w:cs="Times New Roman"/>
          <w:szCs w:val="24"/>
        </w:rPr>
        <w:t xml:space="preserve"> and recommending policies regarding teaching resources, support staff</w:t>
      </w:r>
      <w:r w:rsidR="00CE197B">
        <w:rPr>
          <w:rFonts w:asciiTheme="minorHAnsi" w:eastAsia="Times New Roman" w:hAnsiTheme="minorHAnsi" w:cs="Times New Roman"/>
          <w:szCs w:val="24"/>
        </w:rPr>
        <w:t xml:space="preserve"> </w:t>
      </w:r>
      <w:r w:rsidR="00CE197B" w:rsidRPr="00CE197B">
        <w:rPr>
          <w:rFonts w:asciiTheme="minorHAnsi" w:eastAsia="Times New Roman" w:hAnsiTheme="minorHAnsi" w:cs="Times New Roman"/>
          <w:color w:val="FF0000"/>
          <w:szCs w:val="24"/>
          <w:u w:val="single"/>
        </w:rPr>
        <w:t>members and faculty members</w:t>
      </w:r>
      <w:r w:rsidR="00423E65" w:rsidRPr="00096EF7">
        <w:rPr>
          <w:rFonts w:asciiTheme="minorHAnsi" w:eastAsia="Times New Roman" w:hAnsiTheme="minorHAnsi" w:cs="Times New Roman"/>
          <w:szCs w:val="24"/>
        </w:rPr>
        <w:t xml:space="preserve"> </w:t>
      </w:r>
      <w:r w:rsidR="00423E65" w:rsidRPr="00CE197B">
        <w:rPr>
          <w:rFonts w:asciiTheme="minorHAnsi" w:eastAsia="Times New Roman" w:hAnsiTheme="minorHAnsi" w:cs="Times New Roman"/>
          <w:strike/>
          <w:sz w:val="20"/>
          <w:szCs w:val="20"/>
        </w:rPr>
        <w:t>and faculties</w:t>
      </w:r>
      <w:r w:rsidR="00096EF7" w:rsidRPr="00096EF7">
        <w:rPr>
          <w:rFonts w:asciiTheme="minorHAnsi" w:eastAsia="Times New Roman" w:hAnsiTheme="minorHAnsi" w:cs="Times New Roman"/>
          <w:szCs w:val="24"/>
        </w:rPr>
        <w:t>;</w:t>
      </w:r>
    </w:p>
    <w:p w14:paraId="2C237F3C" w14:textId="77777777" w:rsidR="00462A65" w:rsidRPr="00096EF7" w:rsidRDefault="00462A65" w:rsidP="00462A65">
      <w:pPr>
        <w:spacing w:before="100" w:beforeAutospacing="1" w:after="100" w:afterAutospacing="1" w:line="240" w:lineRule="auto"/>
        <w:rPr>
          <w:rFonts w:asciiTheme="minorHAnsi" w:eastAsia="Times New Roman" w:hAnsiTheme="minorHAnsi" w:cs="Times New Roman"/>
          <w:szCs w:val="24"/>
        </w:rPr>
      </w:pPr>
      <w:r w:rsidRPr="00096EF7">
        <w:rPr>
          <w:rFonts w:asciiTheme="minorHAnsi" w:eastAsia="Times New Roman" w:hAnsiTheme="minorHAnsi" w:cs="Times New Roman"/>
          <w:szCs w:val="24"/>
        </w:rPr>
        <w:t xml:space="preserve">(2) </w:t>
      </w:r>
      <w:r w:rsidR="00423E65" w:rsidRPr="00096EF7">
        <w:rPr>
          <w:rFonts w:asciiTheme="minorHAnsi" w:eastAsia="Times New Roman" w:hAnsiTheme="minorHAnsi" w:cs="Times New Roman"/>
          <w:szCs w:val="24"/>
        </w:rPr>
        <w:t xml:space="preserve">recommending </w:t>
      </w:r>
      <w:r w:rsidRPr="00096EF7">
        <w:rPr>
          <w:rFonts w:asciiTheme="minorHAnsi" w:eastAsia="Times New Roman" w:hAnsiTheme="minorHAnsi" w:cs="Times New Roman"/>
          <w:szCs w:val="24"/>
        </w:rPr>
        <w:t>UNM</w:t>
      </w:r>
      <w:r w:rsidR="00423E65" w:rsidRPr="00096EF7">
        <w:rPr>
          <w:rFonts w:asciiTheme="minorHAnsi" w:eastAsia="Times New Roman" w:hAnsiTheme="minorHAnsi" w:cs="Times New Roman"/>
          <w:szCs w:val="24"/>
        </w:rPr>
        <w:t xml:space="preserve"> policy regarding the granting of awards and stipends for outstanding teaching and scholarly achievements; </w:t>
      </w:r>
    </w:p>
    <w:p w14:paraId="68D4EDF9" w14:textId="31965F9C" w:rsidR="00462A65" w:rsidRPr="00B508E6" w:rsidRDefault="00462A65" w:rsidP="00462A65">
      <w:pPr>
        <w:spacing w:before="100" w:beforeAutospacing="1" w:after="100" w:afterAutospacing="1" w:line="240" w:lineRule="auto"/>
        <w:rPr>
          <w:rFonts w:asciiTheme="minorHAnsi" w:eastAsia="Times New Roman" w:hAnsiTheme="minorHAnsi" w:cs="Times New Roman"/>
          <w:strike/>
          <w:sz w:val="20"/>
          <w:szCs w:val="20"/>
        </w:rPr>
      </w:pPr>
      <w:r w:rsidRPr="00096EF7">
        <w:rPr>
          <w:rFonts w:asciiTheme="minorHAnsi" w:eastAsia="Times New Roman" w:hAnsiTheme="minorHAnsi" w:cs="Times New Roman"/>
          <w:szCs w:val="24"/>
        </w:rPr>
        <w:t xml:space="preserve">(3) </w:t>
      </w:r>
      <w:r w:rsidR="00423E65" w:rsidRPr="00096EF7">
        <w:rPr>
          <w:rFonts w:asciiTheme="minorHAnsi" w:eastAsia="Times New Roman" w:hAnsiTheme="minorHAnsi" w:cs="Times New Roman"/>
          <w:szCs w:val="24"/>
        </w:rPr>
        <w:t>oversee</w:t>
      </w:r>
      <w:r w:rsidRPr="00096EF7">
        <w:rPr>
          <w:rFonts w:asciiTheme="minorHAnsi" w:eastAsia="Times New Roman" w:hAnsiTheme="minorHAnsi" w:cs="Times New Roman"/>
          <w:szCs w:val="24"/>
        </w:rPr>
        <w:t>ing</w:t>
      </w:r>
      <w:r w:rsidR="00423E65" w:rsidRPr="00096EF7">
        <w:rPr>
          <w:rFonts w:asciiTheme="minorHAnsi" w:eastAsia="Times New Roman" w:hAnsiTheme="minorHAnsi" w:cs="Times New Roman"/>
          <w:szCs w:val="24"/>
        </w:rPr>
        <w:t xml:space="preserve"> selection of </w:t>
      </w:r>
      <w:r w:rsidR="00B508E6" w:rsidRPr="008D2390">
        <w:rPr>
          <w:rFonts w:asciiTheme="minorHAnsi" w:eastAsia="Times New Roman" w:hAnsiTheme="minorHAnsi" w:cs="Times New Roman"/>
          <w:color w:val="FF0000"/>
          <w:szCs w:val="24"/>
          <w:u w:val="single"/>
        </w:rPr>
        <w:t>all Center for Teaching and Learning (CTL) awards</w:t>
      </w:r>
      <w:r w:rsidR="00B508E6" w:rsidRPr="00B508E6">
        <w:rPr>
          <w:rFonts w:asciiTheme="minorHAnsi" w:eastAsia="Times New Roman" w:hAnsiTheme="minorHAnsi" w:cs="Times New Roman"/>
          <w:szCs w:val="24"/>
          <w:highlight w:val="lightGray"/>
          <w:u w:val="single"/>
        </w:rPr>
        <w:t>;</w:t>
      </w:r>
      <w:r w:rsidR="00B508E6" w:rsidRPr="00B508E6">
        <w:rPr>
          <w:rFonts w:asciiTheme="minorHAnsi" w:eastAsia="Times New Roman" w:hAnsiTheme="minorHAnsi" w:cs="Times New Roman"/>
          <w:szCs w:val="24"/>
          <w:highlight w:val="lightGray"/>
        </w:rPr>
        <w:t xml:space="preserve"> </w:t>
      </w:r>
      <w:r w:rsidR="00423E65" w:rsidRPr="00B508E6">
        <w:rPr>
          <w:rFonts w:asciiTheme="minorHAnsi" w:eastAsia="Times New Roman" w:hAnsiTheme="minorHAnsi" w:cs="Times New Roman"/>
          <w:strike/>
          <w:sz w:val="20"/>
          <w:szCs w:val="20"/>
          <w:highlight w:val="lightGray"/>
        </w:rPr>
        <w:t xml:space="preserve">Presidential Teaching Fellow and Teacher of the Year Awards and future </w:t>
      </w:r>
      <w:r w:rsidRPr="00B508E6">
        <w:rPr>
          <w:rFonts w:asciiTheme="minorHAnsi" w:eastAsia="Times New Roman" w:hAnsiTheme="minorHAnsi" w:cs="Times New Roman"/>
          <w:strike/>
          <w:sz w:val="20"/>
          <w:szCs w:val="20"/>
          <w:highlight w:val="lightGray"/>
        </w:rPr>
        <w:t>UNM</w:t>
      </w:r>
      <w:r w:rsidR="00423E65" w:rsidRPr="00B508E6">
        <w:rPr>
          <w:rFonts w:asciiTheme="minorHAnsi" w:eastAsia="Times New Roman" w:hAnsiTheme="minorHAnsi" w:cs="Times New Roman"/>
          <w:strike/>
          <w:sz w:val="20"/>
          <w:szCs w:val="20"/>
          <w:highlight w:val="lightGray"/>
        </w:rPr>
        <w:t xml:space="preserve"> teaching honors;</w:t>
      </w:r>
      <w:r w:rsidR="00423E65" w:rsidRPr="00B508E6">
        <w:rPr>
          <w:rFonts w:asciiTheme="minorHAnsi" w:eastAsia="Times New Roman" w:hAnsiTheme="minorHAnsi" w:cs="Times New Roman"/>
          <w:strike/>
          <w:sz w:val="20"/>
          <w:szCs w:val="20"/>
        </w:rPr>
        <w:t xml:space="preserve"> </w:t>
      </w:r>
    </w:p>
    <w:p w14:paraId="4BBA46BE" w14:textId="77777777" w:rsidR="00462A65" w:rsidRPr="00096EF7" w:rsidRDefault="00462A65" w:rsidP="00462A65">
      <w:pPr>
        <w:spacing w:before="100" w:beforeAutospacing="1" w:after="100" w:afterAutospacing="1" w:line="240" w:lineRule="auto"/>
        <w:rPr>
          <w:rFonts w:asciiTheme="minorHAnsi" w:eastAsia="Times New Roman" w:hAnsiTheme="minorHAnsi" w:cs="Times New Roman"/>
          <w:szCs w:val="24"/>
        </w:rPr>
      </w:pPr>
      <w:r w:rsidRPr="00096EF7">
        <w:rPr>
          <w:rFonts w:asciiTheme="minorHAnsi" w:eastAsia="Times New Roman" w:hAnsiTheme="minorHAnsi" w:cs="Times New Roman"/>
          <w:szCs w:val="24"/>
        </w:rPr>
        <w:t xml:space="preserve">(4) </w:t>
      </w:r>
      <w:r w:rsidR="00423E65" w:rsidRPr="00096EF7">
        <w:rPr>
          <w:rFonts w:asciiTheme="minorHAnsi" w:eastAsia="Times New Roman" w:hAnsiTheme="minorHAnsi" w:cs="Times New Roman"/>
          <w:szCs w:val="24"/>
        </w:rPr>
        <w:t xml:space="preserve">awarding funds to be used as incentives to enhance teaching methods and curriculum development through the </w:t>
      </w:r>
      <w:bookmarkStart w:id="0" w:name="_Hlk3301178"/>
      <w:r w:rsidR="00423E65" w:rsidRPr="00096EF7">
        <w:rPr>
          <w:rFonts w:asciiTheme="minorHAnsi" w:eastAsia="Times New Roman" w:hAnsiTheme="minorHAnsi" w:cs="Times New Roman"/>
          <w:szCs w:val="24"/>
        </w:rPr>
        <w:t>Teaching Allocations Subcommittee</w:t>
      </w:r>
      <w:bookmarkEnd w:id="0"/>
      <w:r w:rsidR="00423E65" w:rsidRPr="00096EF7">
        <w:rPr>
          <w:rFonts w:asciiTheme="minorHAnsi" w:eastAsia="Times New Roman" w:hAnsiTheme="minorHAnsi" w:cs="Times New Roman"/>
          <w:szCs w:val="24"/>
        </w:rPr>
        <w:t xml:space="preserve">; </w:t>
      </w:r>
    </w:p>
    <w:p w14:paraId="4438C655" w14:textId="10A08187" w:rsidR="00462A65" w:rsidRPr="00B508E6" w:rsidRDefault="00462A65" w:rsidP="00462A65">
      <w:pPr>
        <w:spacing w:before="100" w:beforeAutospacing="1" w:after="100" w:afterAutospacing="1" w:line="240" w:lineRule="auto"/>
        <w:rPr>
          <w:rFonts w:asciiTheme="minorHAnsi" w:eastAsia="Times New Roman" w:hAnsiTheme="minorHAnsi" w:cs="Times New Roman"/>
          <w:strike/>
          <w:sz w:val="20"/>
          <w:szCs w:val="20"/>
        </w:rPr>
      </w:pPr>
      <w:r w:rsidRPr="00096EF7">
        <w:rPr>
          <w:rFonts w:asciiTheme="minorHAnsi" w:eastAsia="Times New Roman" w:hAnsiTheme="minorHAnsi" w:cs="Times New Roman"/>
          <w:szCs w:val="24"/>
        </w:rPr>
        <w:t xml:space="preserve">(5) </w:t>
      </w:r>
      <w:r w:rsidR="00423E65" w:rsidRPr="00096EF7">
        <w:rPr>
          <w:rFonts w:asciiTheme="minorHAnsi" w:eastAsia="Times New Roman" w:hAnsiTheme="minorHAnsi" w:cs="Times New Roman"/>
          <w:szCs w:val="24"/>
        </w:rPr>
        <w:t xml:space="preserve">reviewing and recommending </w:t>
      </w:r>
      <w:r w:rsidR="00423E65" w:rsidRPr="008D2390">
        <w:rPr>
          <w:rFonts w:asciiTheme="minorHAnsi" w:eastAsia="Times New Roman" w:hAnsiTheme="minorHAnsi" w:cs="Times New Roman"/>
          <w:color w:val="FF0000"/>
          <w:szCs w:val="24"/>
          <w:u w:val="single"/>
        </w:rPr>
        <w:t xml:space="preserve">the use of </w:t>
      </w:r>
      <w:r w:rsidR="00B508E6" w:rsidRPr="008D2390">
        <w:rPr>
          <w:rFonts w:asciiTheme="minorHAnsi" w:eastAsia="Times New Roman" w:hAnsiTheme="minorHAnsi" w:cs="Times New Roman"/>
          <w:color w:val="FF0000"/>
          <w:szCs w:val="24"/>
          <w:u w:val="single"/>
        </w:rPr>
        <w:t>research-based methods for teaching</w:t>
      </w:r>
      <w:r w:rsidR="00B508E6" w:rsidRPr="008D2390">
        <w:rPr>
          <w:rFonts w:asciiTheme="minorHAnsi" w:eastAsia="Times New Roman" w:hAnsiTheme="minorHAnsi" w:cs="Times New Roman"/>
          <w:color w:val="FF0000"/>
          <w:szCs w:val="24"/>
        </w:rPr>
        <w:t xml:space="preserve">; </w:t>
      </w:r>
      <w:r w:rsidR="00423E65" w:rsidRPr="00B508E6">
        <w:rPr>
          <w:rFonts w:asciiTheme="minorHAnsi" w:eastAsia="Times New Roman" w:hAnsiTheme="minorHAnsi" w:cs="Times New Roman"/>
          <w:strike/>
          <w:sz w:val="20"/>
          <w:szCs w:val="20"/>
          <w:highlight w:val="lightGray"/>
        </w:rPr>
        <w:t>contemporary and developing tools for teaching quality and productivity;</w:t>
      </w:r>
      <w:r w:rsidR="00423E65" w:rsidRPr="00B508E6">
        <w:rPr>
          <w:rFonts w:asciiTheme="minorHAnsi" w:eastAsia="Times New Roman" w:hAnsiTheme="minorHAnsi" w:cs="Times New Roman"/>
          <w:strike/>
          <w:sz w:val="20"/>
          <w:szCs w:val="20"/>
        </w:rPr>
        <w:t xml:space="preserve"> </w:t>
      </w:r>
    </w:p>
    <w:p w14:paraId="511D8684" w14:textId="0AA2EB65" w:rsidR="00462A65" w:rsidRPr="00096EF7" w:rsidRDefault="00462A65" w:rsidP="00462A65">
      <w:pPr>
        <w:spacing w:before="100" w:beforeAutospacing="1" w:after="100" w:afterAutospacing="1" w:line="240" w:lineRule="auto"/>
        <w:rPr>
          <w:rFonts w:asciiTheme="minorHAnsi" w:eastAsia="Times New Roman" w:hAnsiTheme="minorHAnsi" w:cs="Times New Roman"/>
          <w:szCs w:val="24"/>
        </w:rPr>
      </w:pPr>
      <w:r w:rsidRPr="00096EF7">
        <w:rPr>
          <w:rFonts w:asciiTheme="minorHAnsi" w:eastAsia="Times New Roman" w:hAnsiTheme="minorHAnsi" w:cs="Times New Roman"/>
          <w:szCs w:val="24"/>
        </w:rPr>
        <w:t>(6) serving</w:t>
      </w:r>
      <w:r w:rsidR="00423E65" w:rsidRPr="00096EF7">
        <w:rPr>
          <w:rFonts w:asciiTheme="minorHAnsi" w:eastAsia="Times New Roman" w:hAnsiTheme="minorHAnsi" w:cs="Times New Roman"/>
          <w:szCs w:val="24"/>
        </w:rPr>
        <w:t xml:space="preserve"> as an advisory committee to the </w:t>
      </w:r>
      <w:r w:rsidR="00B508E6" w:rsidRPr="008D2390">
        <w:rPr>
          <w:rFonts w:asciiTheme="minorHAnsi" w:eastAsia="Times New Roman" w:hAnsiTheme="minorHAnsi" w:cs="Times New Roman"/>
          <w:color w:val="FF0000"/>
          <w:szCs w:val="24"/>
          <w:u w:val="single"/>
        </w:rPr>
        <w:t>CTL</w:t>
      </w:r>
      <w:r w:rsidR="00B508E6">
        <w:rPr>
          <w:rFonts w:asciiTheme="minorHAnsi" w:eastAsia="Times New Roman" w:hAnsiTheme="minorHAnsi" w:cs="Times New Roman"/>
          <w:color w:val="7030A0"/>
          <w:szCs w:val="24"/>
          <w:u w:val="single"/>
        </w:rPr>
        <w:t>;</w:t>
      </w:r>
      <w:r w:rsidR="00B508E6" w:rsidRPr="00B508E6">
        <w:rPr>
          <w:rFonts w:asciiTheme="minorHAnsi" w:eastAsia="Times New Roman" w:hAnsiTheme="minorHAnsi" w:cs="Times New Roman"/>
          <w:szCs w:val="24"/>
        </w:rPr>
        <w:t xml:space="preserve"> </w:t>
      </w:r>
      <w:r w:rsidR="00423E65" w:rsidRPr="00B508E6">
        <w:rPr>
          <w:rFonts w:asciiTheme="minorHAnsi" w:eastAsia="Times New Roman" w:hAnsiTheme="minorHAnsi" w:cs="Times New Roman"/>
          <w:strike/>
          <w:sz w:val="20"/>
          <w:szCs w:val="20"/>
          <w:highlight w:val="lightGray"/>
        </w:rPr>
        <w:t>Center for the Advancement of Scholarship in Teaching and Learning (CASTL)</w:t>
      </w:r>
      <w:r w:rsidR="00423E65" w:rsidRPr="00096EF7">
        <w:rPr>
          <w:rFonts w:asciiTheme="minorHAnsi" w:eastAsia="Times New Roman" w:hAnsiTheme="minorHAnsi" w:cs="Times New Roman"/>
          <w:szCs w:val="24"/>
        </w:rPr>
        <w:t>;</w:t>
      </w:r>
    </w:p>
    <w:p w14:paraId="0711C2B3" w14:textId="77777777" w:rsidR="00B508E6" w:rsidRPr="00096EF7" w:rsidRDefault="00462A65" w:rsidP="00B508E6">
      <w:pPr>
        <w:spacing w:before="100" w:beforeAutospacing="1" w:after="100" w:afterAutospacing="1" w:line="240" w:lineRule="auto"/>
        <w:rPr>
          <w:rFonts w:asciiTheme="minorHAnsi" w:eastAsia="Times New Roman" w:hAnsiTheme="minorHAnsi" w:cs="Times New Roman"/>
          <w:color w:val="FF0000"/>
          <w:szCs w:val="24"/>
        </w:rPr>
      </w:pPr>
      <w:r w:rsidRPr="00096EF7">
        <w:rPr>
          <w:rFonts w:asciiTheme="minorHAnsi" w:eastAsia="Times New Roman" w:hAnsiTheme="minorHAnsi" w:cs="Times New Roman"/>
          <w:szCs w:val="24"/>
        </w:rPr>
        <w:lastRenderedPageBreak/>
        <w:t xml:space="preserve">(7) </w:t>
      </w:r>
      <w:r w:rsidR="00423E65" w:rsidRPr="00096EF7">
        <w:rPr>
          <w:rFonts w:asciiTheme="minorHAnsi" w:eastAsia="Times New Roman" w:hAnsiTheme="minorHAnsi" w:cs="Times New Roman"/>
          <w:szCs w:val="24"/>
        </w:rPr>
        <w:t>evaluating, formulating</w:t>
      </w:r>
      <w:r w:rsidR="00B508E6">
        <w:rPr>
          <w:rFonts w:asciiTheme="minorHAnsi" w:eastAsia="Times New Roman" w:hAnsiTheme="minorHAnsi" w:cs="Times New Roman"/>
          <w:szCs w:val="24"/>
        </w:rPr>
        <w:t>,</w:t>
      </w:r>
      <w:r w:rsidR="00423E65" w:rsidRPr="00096EF7">
        <w:rPr>
          <w:rFonts w:asciiTheme="minorHAnsi" w:eastAsia="Times New Roman" w:hAnsiTheme="minorHAnsi" w:cs="Times New Roman"/>
          <w:szCs w:val="24"/>
        </w:rPr>
        <w:t xml:space="preserve"> and recommending policy concerning teaching support services provided by computer facilities, libraries, media services, and other support organizations;</w:t>
      </w:r>
      <w:r w:rsidR="00B508E6">
        <w:rPr>
          <w:rFonts w:asciiTheme="minorHAnsi" w:eastAsia="Times New Roman" w:hAnsiTheme="minorHAnsi" w:cs="Times New Roman"/>
          <w:szCs w:val="24"/>
        </w:rPr>
        <w:t xml:space="preserve"> </w:t>
      </w:r>
      <w:r w:rsidR="00B508E6" w:rsidRPr="00096EF7">
        <w:rPr>
          <w:rFonts w:asciiTheme="minorHAnsi" w:eastAsia="Times New Roman" w:hAnsiTheme="minorHAnsi" w:cs="Times New Roman"/>
          <w:color w:val="FF0000"/>
          <w:szCs w:val="24"/>
          <w:u w:val="single"/>
        </w:rPr>
        <w:t>and</w:t>
      </w:r>
    </w:p>
    <w:p w14:paraId="44DF86B8" w14:textId="570A8795" w:rsidR="00462A65" w:rsidRPr="00096EF7" w:rsidRDefault="00462A65" w:rsidP="00462A65">
      <w:pPr>
        <w:spacing w:before="100" w:beforeAutospacing="1" w:after="100" w:afterAutospacing="1" w:line="240" w:lineRule="auto"/>
        <w:rPr>
          <w:rFonts w:asciiTheme="minorHAnsi" w:eastAsia="Times New Roman" w:hAnsiTheme="minorHAnsi" w:cs="Times New Roman"/>
          <w:color w:val="FF0000"/>
          <w:szCs w:val="24"/>
        </w:rPr>
      </w:pPr>
      <w:r w:rsidRPr="00B508E6">
        <w:rPr>
          <w:rFonts w:asciiTheme="minorHAnsi" w:eastAsia="Times New Roman" w:hAnsiTheme="minorHAnsi" w:cs="Times New Roman"/>
          <w:strike/>
          <w:sz w:val="20"/>
          <w:szCs w:val="20"/>
          <w:highlight w:val="lightGray"/>
        </w:rPr>
        <w:t>(8)</w:t>
      </w:r>
      <w:r w:rsidR="00423E65" w:rsidRPr="00B508E6">
        <w:rPr>
          <w:rFonts w:asciiTheme="minorHAnsi" w:eastAsia="Times New Roman" w:hAnsiTheme="minorHAnsi" w:cs="Times New Roman"/>
          <w:strike/>
          <w:sz w:val="20"/>
          <w:szCs w:val="20"/>
          <w:highlight w:val="lightGray"/>
        </w:rPr>
        <w:t xml:space="preserve"> developing and recommending a plan for the institution of an annual lecture by an outstanding teacher and the procedure for selection;</w:t>
      </w:r>
      <w:r w:rsidR="00423E65" w:rsidRPr="00096EF7">
        <w:rPr>
          <w:rFonts w:asciiTheme="minorHAnsi" w:eastAsia="Times New Roman" w:hAnsiTheme="minorHAnsi" w:cs="Times New Roman"/>
          <w:szCs w:val="24"/>
        </w:rPr>
        <w:t xml:space="preserve"> </w:t>
      </w:r>
    </w:p>
    <w:p w14:paraId="3DFA0D6E" w14:textId="675DA5DF" w:rsidR="003F2E25" w:rsidRPr="008D2390" w:rsidRDefault="00462A65" w:rsidP="003F2E25">
      <w:pPr>
        <w:spacing w:before="100" w:beforeAutospacing="1" w:after="100" w:afterAutospacing="1" w:line="240" w:lineRule="auto"/>
        <w:rPr>
          <w:rFonts w:asciiTheme="minorHAnsi" w:eastAsia="Times New Roman" w:hAnsiTheme="minorHAnsi" w:cs="Times New Roman"/>
          <w:color w:val="FF0000"/>
          <w:szCs w:val="24"/>
          <w:u w:val="single"/>
        </w:rPr>
      </w:pPr>
      <w:r w:rsidRPr="00096EF7">
        <w:rPr>
          <w:rFonts w:asciiTheme="minorHAnsi" w:eastAsia="Times New Roman" w:hAnsiTheme="minorHAnsi" w:cs="Times New Roman"/>
          <w:szCs w:val="24"/>
        </w:rPr>
        <w:t>(</w:t>
      </w:r>
      <w:r w:rsidR="00B508E6">
        <w:rPr>
          <w:rFonts w:asciiTheme="minorHAnsi" w:eastAsia="Times New Roman" w:hAnsiTheme="minorHAnsi" w:cs="Times New Roman"/>
          <w:szCs w:val="24"/>
        </w:rPr>
        <w:t>8</w:t>
      </w:r>
      <w:r w:rsidRPr="00096EF7">
        <w:rPr>
          <w:rFonts w:asciiTheme="minorHAnsi" w:eastAsia="Times New Roman" w:hAnsiTheme="minorHAnsi" w:cs="Times New Roman"/>
          <w:szCs w:val="24"/>
        </w:rPr>
        <w:t xml:space="preserve">) </w:t>
      </w:r>
      <w:r w:rsidR="00423E65" w:rsidRPr="00096EF7">
        <w:rPr>
          <w:rFonts w:asciiTheme="minorHAnsi" w:eastAsia="Times New Roman" w:hAnsiTheme="minorHAnsi" w:cs="Times New Roman"/>
          <w:szCs w:val="24"/>
        </w:rPr>
        <w:t>meeting formally with the Deans' Council and the Senate Operations Committee at least once each year to discuss current problems and exchange information concerning teaching</w:t>
      </w:r>
      <w:r w:rsidR="00B508E6">
        <w:rPr>
          <w:rFonts w:asciiTheme="minorHAnsi" w:eastAsia="Times New Roman" w:hAnsiTheme="minorHAnsi" w:cs="Times New Roman"/>
          <w:szCs w:val="24"/>
        </w:rPr>
        <w:t>;</w:t>
      </w:r>
      <w:r w:rsidR="003F2E25" w:rsidRPr="003F2E25">
        <w:rPr>
          <w:rFonts w:asciiTheme="minorHAnsi" w:eastAsia="Times New Roman" w:hAnsiTheme="minorHAnsi" w:cs="Times New Roman"/>
          <w:color w:val="7030A0"/>
          <w:szCs w:val="24"/>
          <w:u w:val="single"/>
        </w:rPr>
        <w:t xml:space="preserve"> </w:t>
      </w:r>
      <w:r w:rsidR="003F2E25" w:rsidRPr="008D2390">
        <w:rPr>
          <w:rFonts w:asciiTheme="minorHAnsi" w:eastAsia="Times New Roman" w:hAnsiTheme="minorHAnsi" w:cs="Times New Roman"/>
          <w:color w:val="FF0000"/>
          <w:szCs w:val="24"/>
          <w:u w:val="single"/>
        </w:rPr>
        <w:t xml:space="preserve">encouraging and supporting inclusive teaching to support its diverse student body. </w:t>
      </w:r>
    </w:p>
    <w:p w14:paraId="0BEAC1A6" w14:textId="5BE58AD2" w:rsidR="00423E65" w:rsidRPr="00096EF7" w:rsidRDefault="00462A65" w:rsidP="00423E65">
      <w:pPr>
        <w:spacing w:before="100" w:beforeAutospacing="1" w:after="100" w:afterAutospacing="1" w:line="240" w:lineRule="auto"/>
        <w:rPr>
          <w:rFonts w:asciiTheme="minorHAnsi" w:eastAsia="Times New Roman" w:hAnsiTheme="minorHAnsi" w:cs="Times New Roman"/>
          <w:color w:val="FF0000"/>
          <w:szCs w:val="24"/>
        </w:rPr>
      </w:pPr>
      <w:r w:rsidRPr="00096EF7">
        <w:rPr>
          <w:rFonts w:asciiTheme="minorHAnsi" w:eastAsia="Times New Roman" w:hAnsiTheme="minorHAnsi" w:cs="Times New Roman"/>
          <w:color w:val="FF0000"/>
          <w:szCs w:val="24"/>
          <w:u w:val="single"/>
        </w:rPr>
        <w:t>Committee membership includes</w:t>
      </w:r>
      <w:r w:rsidRPr="00096EF7">
        <w:rPr>
          <w:rFonts w:asciiTheme="minorHAnsi" w:eastAsia="Times New Roman" w:hAnsiTheme="minorHAnsi" w:cs="Times New Roman"/>
          <w:color w:val="FF0000"/>
          <w:szCs w:val="24"/>
        </w:rPr>
        <w:t xml:space="preserve"> </w:t>
      </w:r>
      <w:r w:rsidRPr="00096EF7">
        <w:rPr>
          <w:rFonts w:asciiTheme="minorHAnsi" w:eastAsia="Times New Roman" w:hAnsiTheme="minorHAnsi" w:cs="Times New Roman"/>
          <w:szCs w:val="24"/>
        </w:rPr>
        <w:t>e</w:t>
      </w:r>
      <w:r w:rsidR="00423E65" w:rsidRPr="00096EF7">
        <w:rPr>
          <w:rFonts w:asciiTheme="minorHAnsi" w:eastAsia="Times New Roman" w:hAnsiTheme="minorHAnsi" w:cs="Times New Roman"/>
          <w:szCs w:val="24"/>
        </w:rPr>
        <w:t xml:space="preserve">leven </w:t>
      </w:r>
      <w:r w:rsidRPr="00096EF7">
        <w:rPr>
          <w:rFonts w:asciiTheme="minorHAnsi" w:eastAsia="Times New Roman" w:hAnsiTheme="minorHAnsi" w:cs="Times New Roman"/>
          <w:szCs w:val="24"/>
        </w:rPr>
        <w:t xml:space="preserve">(11) </w:t>
      </w:r>
      <w:r w:rsidR="00423E65" w:rsidRPr="00096EF7">
        <w:rPr>
          <w:rFonts w:asciiTheme="minorHAnsi" w:eastAsia="Times New Roman" w:hAnsiTheme="minorHAnsi" w:cs="Times New Roman"/>
          <w:szCs w:val="24"/>
        </w:rPr>
        <w:t xml:space="preserve">faculty members, including </w:t>
      </w:r>
      <w:r w:rsidRPr="00096EF7">
        <w:rPr>
          <w:rFonts w:asciiTheme="minorHAnsi" w:eastAsia="Times New Roman" w:hAnsiTheme="minorHAnsi" w:cs="Times New Roman"/>
          <w:color w:val="FF0000"/>
          <w:szCs w:val="24"/>
          <w:u w:val="single"/>
        </w:rPr>
        <w:t>one (1)</w:t>
      </w:r>
      <w:r w:rsidRPr="00096EF7">
        <w:rPr>
          <w:rFonts w:asciiTheme="minorHAnsi" w:eastAsia="Times New Roman" w:hAnsiTheme="minorHAnsi" w:cs="Times New Roman"/>
          <w:color w:val="FF0000"/>
          <w:szCs w:val="24"/>
        </w:rPr>
        <w:t xml:space="preserve"> </w:t>
      </w:r>
      <w:r w:rsidR="00423E65" w:rsidRPr="00096EF7">
        <w:rPr>
          <w:rFonts w:asciiTheme="minorHAnsi" w:eastAsia="Times New Roman" w:hAnsiTheme="minorHAnsi" w:cs="Times New Roman"/>
          <w:strike/>
          <w:sz w:val="20"/>
          <w:szCs w:val="20"/>
        </w:rPr>
        <w:t>a</w:t>
      </w:r>
      <w:r w:rsidR="00423E65" w:rsidRPr="00096EF7">
        <w:rPr>
          <w:rFonts w:asciiTheme="minorHAnsi" w:eastAsia="Times New Roman" w:hAnsiTheme="minorHAnsi" w:cs="Times New Roman"/>
          <w:szCs w:val="24"/>
        </w:rPr>
        <w:t xml:space="preserve"> member from a branch </w:t>
      </w:r>
      <w:r w:rsidRPr="00096EF7">
        <w:rPr>
          <w:rFonts w:asciiTheme="minorHAnsi" w:eastAsia="Times New Roman" w:hAnsiTheme="minorHAnsi" w:cs="Times New Roman"/>
          <w:color w:val="FF0000"/>
          <w:szCs w:val="24"/>
          <w:u w:val="single"/>
        </w:rPr>
        <w:t>community college</w:t>
      </w:r>
      <w:r w:rsidRPr="00096EF7">
        <w:rPr>
          <w:rFonts w:asciiTheme="minorHAnsi" w:eastAsia="Times New Roman" w:hAnsiTheme="minorHAnsi" w:cs="Times New Roman"/>
          <w:color w:val="FF0000"/>
          <w:szCs w:val="24"/>
        </w:rPr>
        <w:t xml:space="preserve"> </w:t>
      </w:r>
      <w:r w:rsidR="00423E65" w:rsidRPr="00096EF7">
        <w:rPr>
          <w:rFonts w:asciiTheme="minorHAnsi" w:eastAsia="Times New Roman" w:hAnsiTheme="minorHAnsi" w:cs="Times New Roman"/>
          <w:strike/>
          <w:sz w:val="20"/>
          <w:szCs w:val="20"/>
        </w:rPr>
        <w:t>campus</w:t>
      </w:r>
      <w:r w:rsidR="00423E65" w:rsidRPr="00096EF7">
        <w:rPr>
          <w:rFonts w:asciiTheme="minorHAnsi" w:eastAsia="Times New Roman" w:hAnsiTheme="minorHAnsi" w:cs="Times New Roman"/>
          <w:szCs w:val="24"/>
        </w:rPr>
        <w:t xml:space="preserve">, appointed by the Faculty Senate; one </w:t>
      </w:r>
      <w:r w:rsidRPr="00096EF7">
        <w:rPr>
          <w:rFonts w:asciiTheme="minorHAnsi" w:eastAsia="Times New Roman" w:hAnsiTheme="minorHAnsi" w:cs="Times New Roman"/>
          <w:szCs w:val="24"/>
        </w:rPr>
        <w:t xml:space="preserve">(1) </w:t>
      </w:r>
      <w:r w:rsidR="00423E65" w:rsidRPr="00096EF7">
        <w:rPr>
          <w:rFonts w:asciiTheme="minorHAnsi" w:eastAsia="Times New Roman" w:hAnsiTheme="minorHAnsi" w:cs="Times New Roman"/>
          <w:szCs w:val="24"/>
        </w:rPr>
        <w:t xml:space="preserve">graduate student appointed by the Graduate Professional Student Association (GPSA); one </w:t>
      </w:r>
      <w:r w:rsidRPr="00096EF7">
        <w:rPr>
          <w:rFonts w:asciiTheme="minorHAnsi" w:eastAsia="Times New Roman" w:hAnsiTheme="minorHAnsi" w:cs="Times New Roman"/>
          <w:szCs w:val="24"/>
        </w:rPr>
        <w:t xml:space="preserve">(1) </w:t>
      </w:r>
      <w:r w:rsidR="00423E65" w:rsidRPr="00096EF7">
        <w:rPr>
          <w:rFonts w:asciiTheme="minorHAnsi" w:eastAsia="Times New Roman" w:hAnsiTheme="minorHAnsi" w:cs="Times New Roman"/>
          <w:szCs w:val="24"/>
        </w:rPr>
        <w:t>undergraduate student appointed by the Associated Stu</w:t>
      </w:r>
      <w:bookmarkStart w:id="1" w:name="_GoBack"/>
      <w:bookmarkEnd w:id="1"/>
      <w:r w:rsidR="00423E65" w:rsidRPr="00096EF7">
        <w:rPr>
          <w:rFonts w:asciiTheme="minorHAnsi" w:eastAsia="Times New Roman" w:hAnsiTheme="minorHAnsi" w:cs="Times New Roman"/>
          <w:szCs w:val="24"/>
        </w:rPr>
        <w:t xml:space="preserve">dents of UNM (ASUNM). The </w:t>
      </w:r>
      <w:r w:rsidR="00423E65" w:rsidRPr="008D2390">
        <w:rPr>
          <w:rFonts w:asciiTheme="minorHAnsi" w:eastAsia="Times New Roman" w:hAnsiTheme="minorHAnsi" w:cs="Times New Roman"/>
          <w:strike/>
          <w:sz w:val="20"/>
          <w:szCs w:val="20"/>
        </w:rPr>
        <w:t>Provost, the</w:t>
      </w:r>
      <w:r w:rsidR="00423E65" w:rsidRPr="008D2390">
        <w:rPr>
          <w:rFonts w:asciiTheme="minorHAnsi" w:eastAsia="Times New Roman" w:hAnsiTheme="minorHAnsi" w:cs="Times New Roman"/>
          <w:szCs w:val="24"/>
        </w:rPr>
        <w:t xml:space="preserve"> </w:t>
      </w:r>
      <w:r w:rsidR="00423E65" w:rsidRPr="00096EF7">
        <w:rPr>
          <w:rFonts w:asciiTheme="minorHAnsi" w:eastAsia="Times New Roman" w:hAnsiTheme="minorHAnsi" w:cs="Times New Roman"/>
          <w:szCs w:val="24"/>
        </w:rPr>
        <w:t>Associate Provost for Academic Affairs,</w:t>
      </w:r>
      <w:r w:rsidR="006D75B1">
        <w:rPr>
          <w:rFonts w:asciiTheme="minorHAnsi" w:eastAsia="Times New Roman" w:hAnsiTheme="minorHAnsi" w:cs="Times New Roman"/>
          <w:szCs w:val="24"/>
        </w:rPr>
        <w:t xml:space="preserve"> </w:t>
      </w:r>
      <w:r w:rsidR="006D75B1" w:rsidRPr="008D2390">
        <w:rPr>
          <w:rFonts w:asciiTheme="minorHAnsi" w:eastAsia="Times New Roman" w:hAnsiTheme="minorHAnsi" w:cs="Times New Roman"/>
          <w:color w:val="FF0000"/>
          <w:szCs w:val="24"/>
          <w:u w:val="single"/>
        </w:rPr>
        <w:t xml:space="preserve">the Associate Provost for Faculty Development, the Vice President of the Division of Equity and Inclusion, the Executive Director of CTL, the Associate Director of CTE, and the Associate Director of </w:t>
      </w:r>
      <w:r w:rsidR="00CE197B" w:rsidRPr="008D2390">
        <w:rPr>
          <w:rFonts w:asciiTheme="minorHAnsi" w:eastAsia="Times New Roman" w:hAnsiTheme="minorHAnsi" w:cs="Times New Roman"/>
          <w:color w:val="FF0000"/>
          <w:szCs w:val="24"/>
          <w:u w:val="single"/>
        </w:rPr>
        <w:t>the Center for Digital Learning (</w:t>
      </w:r>
      <w:r w:rsidR="006D75B1" w:rsidRPr="008D2390">
        <w:rPr>
          <w:rFonts w:asciiTheme="minorHAnsi" w:eastAsia="Times New Roman" w:hAnsiTheme="minorHAnsi" w:cs="Times New Roman"/>
          <w:color w:val="FF0000"/>
          <w:szCs w:val="24"/>
          <w:u w:val="single"/>
        </w:rPr>
        <w:t>CDL</w:t>
      </w:r>
      <w:r w:rsidR="00CE197B" w:rsidRPr="008D2390">
        <w:rPr>
          <w:rFonts w:asciiTheme="minorHAnsi" w:eastAsia="Times New Roman" w:hAnsiTheme="minorHAnsi" w:cs="Times New Roman"/>
          <w:color w:val="FF0000"/>
          <w:szCs w:val="24"/>
          <w:u w:val="single"/>
        </w:rPr>
        <w:t>)</w:t>
      </w:r>
      <w:r w:rsidR="00423E65" w:rsidRPr="008D2390">
        <w:rPr>
          <w:rFonts w:asciiTheme="minorHAnsi" w:eastAsia="Times New Roman" w:hAnsiTheme="minorHAnsi" w:cs="Times New Roman"/>
          <w:color w:val="FF0000"/>
          <w:szCs w:val="24"/>
        </w:rPr>
        <w:t xml:space="preserve"> </w:t>
      </w:r>
      <w:r w:rsidR="00423E65" w:rsidRPr="008D2390">
        <w:rPr>
          <w:rFonts w:asciiTheme="minorHAnsi" w:eastAsia="Times New Roman" w:hAnsiTheme="minorHAnsi" w:cs="Times New Roman"/>
          <w:strike/>
          <w:sz w:val="20"/>
          <w:szCs w:val="20"/>
        </w:rPr>
        <w:t>and the Director of CASTL</w:t>
      </w:r>
      <w:r w:rsidR="00423E65" w:rsidRPr="008D2390">
        <w:rPr>
          <w:rFonts w:asciiTheme="minorHAnsi" w:eastAsia="Times New Roman" w:hAnsiTheme="minorHAnsi" w:cs="Times New Roman"/>
          <w:szCs w:val="24"/>
        </w:rPr>
        <w:t xml:space="preserve"> </w:t>
      </w:r>
      <w:r w:rsidR="00423E65" w:rsidRPr="00096EF7">
        <w:rPr>
          <w:rFonts w:asciiTheme="minorHAnsi" w:eastAsia="Times New Roman" w:hAnsiTheme="minorHAnsi" w:cs="Times New Roman"/>
          <w:szCs w:val="24"/>
        </w:rPr>
        <w:t xml:space="preserve">shall be ex officio members of the committee. The terms of office shall be three </w:t>
      </w:r>
      <w:r w:rsidRPr="00096EF7">
        <w:rPr>
          <w:rFonts w:asciiTheme="minorHAnsi" w:eastAsia="Times New Roman" w:hAnsiTheme="minorHAnsi" w:cs="Times New Roman"/>
          <w:szCs w:val="24"/>
        </w:rPr>
        <w:t xml:space="preserve">(3) </w:t>
      </w:r>
      <w:r w:rsidR="00423E65" w:rsidRPr="00096EF7">
        <w:rPr>
          <w:rFonts w:asciiTheme="minorHAnsi" w:eastAsia="Times New Roman" w:hAnsiTheme="minorHAnsi" w:cs="Times New Roman"/>
          <w:szCs w:val="24"/>
        </w:rPr>
        <w:t>years set up on a staggered basis, and the committee members shall elect the chair.)</w:t>
      </w:r>
      <w:r w:rsidR="00AE48CD" w:rsidRPr="00096EF7">
        <w:rPr>
          <w:rFonts w:asciiTheme="minorHAnsi" w:eastAsia="Times New Roman" w:hAnsiTheme="minorHAnsi" w:cs="Times New Roman"/>
          <w:szCs w:val="24"/>
        </w:rPr>
        <w:t xml:space="preserve">  </w:t>
      </w:r>
      <w:r w:rsidR="00AE48CD" w:rsidRPr="00096EF7">
        <w:rPr>
          <w:rFonts w:asciiTheme="minorHAnsi" w:eastAsia="Times New Roman" w:hAnsiTheme="minorHAnsi" w:cstheme="minorHAnsi"/>
          <w:color w:val="FF0000"/>
          <w:szCs w:val="24"/>
          <w:u w:val="single"/>
        </w:rPr>
        <w:t>Student terms are usually one (1) year.</w:t>
      </w:r>
    </w:p>
    <w:tbl>
      <w:tblPr>
        <w:tblStyle w:val="TableGrid"/>
        <w:tblW w:w="0" w:type="auto"/>
        <w:tblLook w:val="04A0" w:firstRow="1" w:lastRow="0" w:firstColumn="1" w:lastColumn="0" w:noHBand="0" w:noVBand="1"/>
      </w:tblPr>
      <w:tblGrid>
        <w:gridCol w:w="9360"/>
      </w:tblGrid>
      <w:tr w:rsidR="00FE5D10" w:rsidRPr="0038714C" w14:paraId="3460D220" w14:textId="77777777" w:rsidTr="00D13537">
        <w:tc>
          <w:tcPr>
            <w:tcW w:w="9576" w:type="dxa"/>
            <w:tcBorders>
              <w:left w:val="nil"/>
              <w:right w:val="nil"/>
            </w:tcBorders>
          </w:tcPr>
          <w:p w14:paraId="4813A2FE" w14:textId="77777777" w:rsidR="00FE5D10" w:rsidRPr="0038714C" w:rsidRDefault="00BA2783" w:rsidP="00D13537">
            <w:pPr>
              <w:jc w:val="center"/>
              <w:rPr>
                <w:sz w:val="32"/>
                <w:szCs w:val="32"/>
              </w:rPr>
            </w:pPr>
            <w:r>
              <w:t xml:space="preserve"> </w:t>
            </w:r>
            <w:r w:rsidR="00FE5D10">
              <w:rPr>
                <w:sz w:val="32"/>
                <w:szCs w:val="32"/>
              </w:rPr>
              <w:t>APPLICABILITY</w:t>
            </w:r>
          </w:p>
        </w:tc>
      </w:tr>
    </w:tbl>
    <w:p w14:paraId="0169E607" w14:textId="77777777" w:rsidR="000779E0" w:rsidRDefault="000779E0" w:rsidP="0038714C">
      <w:pPr>
        <w:spacing w:after="0" w:line="240" w:lineRule="auto"/>
      </w:pPr>
    </w:p>
    <w:p w14:paraId="56AA4A32" w14:textId="22CA7C25" w:rsidR="00FF5AE3" w:rsidRPr="00096EF7" w:rsidRDefault="003455F7" w:rsidP="00FF5AE3">
      <w:pPr>
        <w:spacing w:after="0" w:line="240" w:lineRule="auto"/>
      </w:pPr>
      <w:r>
        <w:t xml:space="preserve">All UNM </w:t>
      </w:r>
      <w:r w:rsidR="00E92898">
        <w:t>faculty</w:t>
      </w:r>
      <w:r>
        <w:t xml:space="preserve">, including the Health Sciences Center and Branch </w:t>
      </w:r>
      <w:r w:rsidR="00431EC7" w:rsidRPr="00096EF7">
        <w:t>Community</w:t>
      </w:r>
      <w:r w:rsidR="005B579E" w:rsidRPr="00096EF7">
        <w:t xml:space="preserve"> Colleges.</w:t>
      </w:r>
    </w:p>
    <w:p w14:paraId="5DED4E15" w14:textId="77777777" w:rsidR="003455F7" w:rsidRDefault="003455F7" w:rsidP="00FF5AE3">
      <w:pPr>
        <w:spacing w:after="0" w:line="240" w:lineRule="auto"/>
      </w:pPr>
    </w:p>
    <w:tbl>
      <w:tblPr>
        <w:tblStyle w:val="TableGrid"/>
        <w:tblW w:w="0" w:type="auto"/>
        <w:tblLook w:val="04A0" w:firstRow="1" w:lastRow="0" w:firstColumn="1" w:lastColumn="0" w:noHBand="0" w:noVBand="1"/>
      </w:tblPr>
      <w:tblGrid>
        <w:gridCol w:w="9360"/>
      </w:tblGrid>
      <w:tr w:rsidR="00FF5AE3" w:rsidRPr="0038714C" w14:paraId="78177B91" w14:textId="77777777" w:rsidTr="00D13537">
        <w:tc>
          <w:tcPr>
            <w:tcW w:w="9576" w:type="dxa"/>
            <w:tcBorders>
              <w:left w:val="nil"/>
              <w:right w:val="nil"/>
            </w:tcBorders>
          </w:tcPr>
          <w:p w14:paraId="73D972D6" w14:textId="77777777" w:rsidR="00FF5AE3" w:rsidRPr="0038714C" w:rsidRDefault="00FF5AE3" w:rsidP="00D13537">
            <w:pPr>
              <w:jc w:val="center"/>
              <w:rPr>
                <w:sz w:val="32"/>
                <w:szCs w:val="32"/>
              </w:rPr>
            </w:pPr>
            <w:r>
              <w:rPr>
                <w:sz w:val="32"/>
                <w:szCs w:val="32"/>
              </w:rPr>
              <w:t>DEFINITIONS</w:t>
            </w:r>
          </w:p>
        </w:tc>
      </w:tr>
    </w:tbl>
    <w:p w14:paraId="37EC6562" w14:textId="77777777" w:rsidR="00902DB5" w:rsidRDefault="00902DB5" w:rsidP="00902DB5">
      <w:pPr>
        <w:spacing w:after="0" w:line="240" w:lineRule="auto"/>
      </w:pPr>
    </w:p>
    <w:p w14:paraId="02FA3640" w14:textId="77777777" w:rsidR="00B602A4" w:rsidRDefault="00B602A4" w:rsidP="00B602A4">
      <w:pPr>
        <w:spacing w:after="0" w:line="240" w:lineRule="auto"/>
      </w:pPr>
      <w:r>
        <w:t>No specific definitions are required for the Policy Statement.</w:t>
      </w:r>
    </w:p>
    <w:p w14:paraId="53FFD9F7" w14:textId="77777777" w:rsidR="00526C8D" w:rsidRPr="00C55E30" w:rsidRDefault="00526C8D" w:rsidP="00902DB5">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212A3375" w14:textId="77777777" w:rsidTr="00277F1F">
        <w:tc>
          <w:tcPr>
            <w:tcW w:w="9576" w:type="dxa"/>
            <w:shd w:val="clear" w:color="auto" w:fill="EEECE1" w:themeFill="background2"/>
          </w:tcPr>
          <w:p w14:paraId="1959B2B9" w14:textId="77777777" w:rsidR="00526C8D" w:rsidRPr="00096EF7" w:rsidRDefault="00526C8D" w:rsidP="00277F1F">
            <w:pPr>
              <w:rPr>
                <w:rFonts w:asciiTheme="minorHAnsi" w:eastAsia="Times New Roman" w:hAnsiTheme="minorHAnsi" w:cs="Times New Roman"/>
                <w:b/>
                <w:color w:val="FF0000"/>
                <w:szCs w:val="24"/>
              </w:rPr>
            </w:pPr>
            <w:r w:rsidRPr="00096EF7">
              <w:rPr>
                <w:rFonts w:asciiTheme="minorHAnsi" w:eastAsia="Times New Roman" w:hAnsiTheme="minorHAnsi" w:cs="Times New Roman"/>
                <w:szCs w:val="24"/>
              </w:rPr>
              <w:t>Revisions to the remaining sections of this document may be amended with the approval of the Faculty Senate Policy and Operations Committee in consultation with the responsible Faculty Senate Committee listed in Policy Heading.</w:t>
            </w:r>
          </w:p>
        </w:tc>
      </w:tr>
    </w:tbl>
    <w:p w14:paraId="6B04D795" w14:textId="77777777" w:rsidR="00526C8D" w:rsidRDefault="00526C8D" w:rsidP="00526C8D">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14:paraId="366DB2F5" w14:textId="77777777" w:rsidTr="00D13537">
        <w:tc>
          <w:tcPr>
            <w:tcW w:w="9576" w:type="dxa"/>
            <w:tcBorders>
              <w:left w:val="nil"/>
              <w:right w:val="nil"/>
            </w:tcBorders>
          </w:tcPr>
          <w:p w14:paraId="33CF654B" w14:textId="77777777" w:rsidR="00FE5D10" w:rsidRPr="0038714C" w:rsidRDefault="00331933" w:rsidP="00D13537">
            <w:pPr>
              <w:jc w:val="center"/>
              <w:rPr>
                <w:sz w:val="32"/>
                <w:szCs w:val="32"/>
              </w:rPr>
            </w:pPr>
            <w:r>
              <w:rPr>
                <w:sz w:val="32"/>
                <w:szCs w:val="32"/>
              </w:rPr>
              <w:t>WHO SHOULD READ THIS POLICY</w:t>
            </w:r>
          </w:p>
        </w:tc>
      </w:tr>
    </w:tbl>
    <w:p w14:paraId="29772A23" w14:textId="77777777" w:rsidR="0069767F" w:rsidRPr="00287C30" w:rsidRDefault="0069767F" w:rsidP="0069767F">
      <w:pPr>
        <w:pStyle w:val="ListParagraph"/>
        <w:spacing w:after="0" w:line="240" w:lineRule="auto"/>
      </w:pPr>
    </w:p>
    <w:p w14:paraId="5B983EFB" w14:textId="77777777" w:rsidR="003455F7" w:rsidRDefault="003455F7" w:rsidP="003455F7">
      <w:pPr>
        <w:pStyle w:val="ListParagraph"/>
        <w:numPr>
          <w:ilvl w:val="0"/>
          <w:numId w:val="1"/>
        </w:numPr>
        <w:spacing w:after="0" w:line="240" w:lineRule="auto"/>
      </w:pPr>
      <w:r>
        <w:t xml:space="preserve">Academic chairs, directors, and deans </w:t>
      </w:r>
    </w:p>
    <w:p w14:paraId="7AB4FAD9" w14:textId="77777777" w:rsidR="003455F7" w:rsidRDefault="003455F7" w:rsidP="003455F7">
      <w:pPr>
        <w:pStyle w:val="ListParagraph"/>
        <w:numPr>
          <w:ilvl w:val="0"/>
          <w:numId w:val="1"/>
        </w:numPr>
        <w:spacing w:after="0" w:line="240" w:lineRule="auto"/>
      </w:pPr>
      <w:r>
        <w:t>Non-academic managers and directors</w:t>
      </w:r>
    </w:p>
    <w:p w14:paraId="0C08449B" w14:textId="77777777" w:rsidR="003455F7" w:rsidRDefault="003455F7" w:rsidP="003455F7">
      <w:pPr>
        <w:pStyle w:val="ListParagraph"/>
        <w:numPr>
          <w:ilvl w:val="0"/>
          <w:numId w:val="1"/>
        </w:numPr>
        <w:spacing w:after="0" w:line="240" w:lineRule="auto"/>
      </w:pPr>
      <w:r>
        <w:t>Vice presidents and other executives</w:t>
      </w:r>
    </w:p>
    <w:p w14:paraId="343CA5D5"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01B24ECA" w14:textId="77777777" w:rsidTr="00D13537">
        <w:tc>
          <w:tcPr>
            <w:tcW w:w="9576" w:type="dxa"/>
            <w:tcBorders>
              <w:left w:val="nil"/>
              <w:right w:val="nil"/>
            </w:tcBorders>
          </w:tcPr>
          <w:p w14:paraId="15B2A6B6" w14:textId="77777777" w:rsidR="00331933" w:rsidRPr="0038714C" w:rsidRDefault="00D64684" w:rsidP="00D13537">
            <w:pPr>
              <w:jc w:val="center"/>
              <w:rPr>
                <w:sz w:val="32"/>
                <w:szCs w:val="32"/>
              </w:rPr>
            </w:pPr>
            <w:r>
              <w:rPr>
                <w:sz w:val="32"/>
                <w:szCs w:val="32"/>
              </w:rPr>
              <w:t>RELATED DOCU</w:t>
            </w:r>
            <w:r w:rsidR="00331933">
              <w:rPr>
                <w:sz w:val="32"/>
                <w:szCs w:val="32"/>
              </w:rPr>
              <w:t>MENTS</w:t>
            </w:r>
          </w:p>
        </w:tc>
      </w:tr>
    </w:tbl>
    <w:p w14:paraId="3085577A" w14:textId="77777777" w:rsidR="00D40EBB" w:rsidRDefault="00D40EBB" w:rsidP="00D40EBB">
      <w:pPr>
        <w:pStyle w:val="ListParagraph"/>
        <w:spacing w:after="0" w:line="240" w:lineRule="auto"/>
        <w:ind w:left="0"/>
      </w:pPr>
    </w:p>
    <w:p w14:paraId="0679B0BA" w14:textId="77777777" w:rsidR="009904D2" w:rsidRPr="00096EF7" w:rsidRDefault="009904D2" w:rsidP="00D40EBB">
      <w:pPr>
        <w:pStyle w:val="ListParagraph"/>
        <w:spacing w:after="0" w:line="240" w:lineRule="auto"/>
        <w:ind w:left="0"/>
        <w:rPr>
          <w:color w:val="FF0000"/>
          <w:u w:val="single"/>
        </w:rPr>
      </w:pPr>
      <w:r w:rsidRPr="00096EF7">
        <w:rPr>
          <w:color w:val="FF0000"/>
          <w:u w:val="single"/>
        </w:rPr>
        <w:t xml:space="preserve">Regents’ Policy </w:t>
      </w:r>
      <w:r w:rsidRPr="00096EF7">
        <w:rPr>
          <w:b/>
          <w:color w:val="FF0000"/>
          <w:u w:val="single"/>
        </w:rPr>
        <w:t>(RPM) 1.6</w:t>
      </w:r>
      <w:r w:rsidRPr="00096EF7">
        <w:rPr>
          <w:color w:val="FF0000"/>
          <w:u w:val="single"/>
        </w:rPr>
        <w:t xml:space="preserve"> “Special Recognition and Awards.”</w:t>
      </w:r>
    </w:p>
    <w:p w14:paraId="057D8C0B" w14:textId="77777777" w:rsidR="009904D2" w:rsidRDefault="009904D2" w:rsidP="00D40EBB">
      <w:pPr>
        <w:pStyle w:val="ListParagraph"/>
        <w:spacing w:after="0" w:line="240" w:lineRule="auto"/>
        <w:ind w:left="0"/>
      </w:pPr>
    </w:p>
    <w:p w14:paraId="3C722583" w14:textId="62F35D52" w:rsidR="00431EC7" w:rsidRPr="00B36A26" w:rsidRDefault="00431EC7" w:rsidP="00431EC7">
      <w:pPr>
        <w:spacing w:after="0" w:line="240" w:lineRule="auto"/>
        <w:rPr>
          <w:rFonts w:asciiTheme="minorHAnsi" w:hAnsiTheme="minorHAnsi" w:cstheme="minorHAnsi"/>
          <w:color w:val="000000" w:themeColor="text1"/>
        </w:rPr>
      </w:pPr>
      <w:r w:rsidRPr="00B36A26">
        <w:rPr>
          <w:rFonts w:asciiTheme="minorHAnsi" w:hAnsiTheme="minorHAnsi" w:cstheme="minorHAnsi"/>
          <w:i/>
          <w:color w:val="000000" w:themeColor="text1"/>
        </w:rPr>
        <w:t>Faculty Handbook</w:t>
      </w:r>
      <w:r w:rsidRPr="00B36A26">
        <w:rPr>
          <w:rFonts w:asciiTheme="minorHAnsi" w:hAnsiTheme="minorHAnsi" w:cstheme="minorHAnsi"/>
          <w:color w:val="000000" w:themeColor="text1"/>
        </w:rPr>
        <w:t xml:space="preserve">: </w:t>
      </w:r>
      <w:r w:rsidR="00096EF7">
        <w:rPr>
          <w:rFonts w:asciiTheme="minorHAnsi" w:hAnsiTheme="minorHAnsi"/>
          <w:color w:val="000000" w:themeColor="text1"/>
        </w:rPr>
        <w:t>Note: Committee Charges Policy numbers are being changed to align with their respective Council per the new Faculty Senate Restructure</w:t>
      </w:r>
    </w:p>
    <w:p w14:paraId="0215F02E"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lastRenderedPageBreak/>
        <w:t>Policy A51</w:t>
      </w:r>
      <w:r w:rsidRPr="00B36A26">
        <w:rPr>
          <w:rFonts w:asciiTheme="minorHAnsi" w:hAnsiTheme="minorHAnsi" w:cstheme="minorHAnsi"/>
          <w:color w:val="FF0000"/>
        </w:rPr>
        <w:t xml:space="preserve"> </w:t>
      </w:r>
      <w:r w:rsidRPr="00B36A26">
        <w:rPr>
          <w:rFonts w:asciiTheme="minorHAnsi" w:hAnsiTheme="minorHAnsi" w:cstheme="minorHAnsi"/>
          <w:color w:val="000000" w:themeColor="text1"/>
        </w:rPr>
        <w:t>“Faculty Constitution”</w:t>
      </w:r>
    </w:p>
    <w:p w14:paraId="1EABC32B" w14:textId="77777777" w:rsidR="00431EC7" w:rsidRPr="00B36A26" w:rsidRDefault="00431EC7" w:rsidP="00431EC7">
      <w:pPr>
        <w:spacing w:after="0" w:line="240" w:lineRule="auto"/>
        <w:ind w:firstLine="720"/>
        <w:rPr>
          <w:rFonts w:asciiTheme="minorHAnsi" w:hAnsiTheme="minorHAnsi" w:cstheme="minorHAnsi"/>
          <w:b/>
          <w:color w:val="FF0000"/>
          <w:u w:val="single"/>
        </w:rPr>
      </w:pPr>
      <w:r w:rsidRPr="00B36A26">
        <w:rPr>
          <w:rFonts w:asciiTheme="minorHAnsi" w:hAnsiTheme="minorHAnsi" w:cstheme="minorHAnsi"/>
          <w:b/>
          <w:color w:val="FF0000"/>
          <w:u w:val="single"/>
        </w:rPr>
        <w:t xml:space="preserve">Policy A53 </w:t>
      </w:r>
      <w:r w:rsidRPr="00B36A26">
        <w:rPr>
          <w:rFonts w:asciiTheme="minorHAnsi" w:hAnsiTheme="minorHAnsi" w:cstheme="minorHAnsi"/>
        </w:rPr>
        <w:t>“Development and Approval of Faculty Policies”</w:t>
      </w:r>
    </w:p>
    <w:p w14:paraId="3E6B13C7"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A60</w:t>
      </w:r>
      <w:r w:rsidRPr="00B36A26">
        <w:rPr>
          <w:rFonts w:asciiTheme="minorHAnsi" w:hAnsiTheme="minorHAnsi" w:cstheme="minorHAnsi"/>
          <w:color w:val="000000" w:themeColor="text1"/>
        </w:rPr>
        <w:t xml:space="preserve"> “Faculty Senate Bylaws”</w:t>
      </w:r>
    </w:p>
    <w:p w14:paraId="2CE28AE4" w14:textId="77777777" w:rsidR="00431EC7"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A60.1</w:t>
      </w:r>
      <w:r w:rsidRPr="00B36A26">
        <w:rPr>
          <w:rFonts w:asciiTheme="minorHAnsi" w:hAnsiTheme="minorHAnsi" w:cstheme="minorHAnsi"/>
          <w:color w:val="FF0000"/>
        </w:rPr>
        <w:t xml:space="preserve"> </w:t>
      </w:r>
      <w:r w:rsidRPr="00B36A26">
        <w:rPr>
          <w:rFonts w:asciiTheme="minorHAnsi" w:hAnsiTheme="minorHAnsi" w:cstheme="minorHAnsi"/>
          <w:color w:val="000000" w:themeColor="text1"/>
        </w:rPr>
        <w:t>“Faculty Senate Councils and Committees”</w:t>
      </w:r>
    </w:p>
    <w:p w14:paraId="09F71F41" w14:textId="77777777" w:rsidR="00CC3C98" w:rsidRPr="005B579E" w:rsidRDefault="00CC3C98" w:rsidP="00CC3C98">
      <w:pPr>
        <w:spacing w:after="0" w:line="240" w:lineRule="auto"/>
        <w:ind w:firstLine="720"/>
        <w:rPr>
          <w:rFonts w:asciiTheme="minorHAnsi" w:hAnsiTheme="minorHAnsi"/>
        </w:rPr>
      </w:pPr>
      <w:r w:rsidRPr="005B579E">
        <w:rPr>
          <w:rFonts w:asciiTheme="minorHAnsi" w:hAnsiTheme="minorHAnsi"/>
          <w:b/>
          <w:color w:val="FF0000"/>
          <w:u w:val="single"/>
        </w:rPr>
        <w:t>Policy A61</w:t>
      </w:r>
      <w:r w:rsidRPr="005B579E">
        <w:rPr>
          <w:rFonts w:asciiTheme="minorHAnsi" w:hAnsiTheme="minorHAnsi"/>
          <w:color w:val="FF0000"/>
        </w:rPr>
        <w:t xml:space="preserve"> </w:t>
      </w:r>
      <w:r w:rsidRPr="005B579E">
        <w:rPr>
          <w:rFonts w:asciiTheme="minorHAnsi" w:hAnsiTheme="minorHAnsi"/>
        </w:rPr>
        <w:t>“Academic Council”</w:t>
      </w:r>
    </w:p>
    <w:p w14:paraId="3AA490DE" w14:textId="77777777" w:rsidR="00B70C62" w:rsidRDefault="00B70C62" w:rsidP="00B70C62">
      <w:pPr>
        <w:pStyle w:val="Default"/>
        <w:rPr>
          <w:rFonts w:asciiTheme="minorHAnsi" w:hAnsiTheme="minorHAnsi" w:cstheme="minorHAnsi"/>
          <w:bCs/>
        </w:rPr>
      </w:pPr>
    </w:p>
    <w:tbl>
      <w:tblPr>
        <w:tblStyle w:val="TableGrid"/>
        <w:tblW w:w="0" w:type="auto"/>
        <w:tblLook w:val="04A0" w:firstRow="1" w:lastRow="0" w:firstColumn="1" w:lastColumn="0" w:noHBand="0" w:noVBand="1"/>
      </w:tblPr>
      <w:tblGrid>
        <w:gridCol w:w="9360"/>
      </w:tblGrid>
      <w:tr w:rsidR="00331933" w:rsidRPr="0038714C" w14:paraId="4B3E7593" w14:textId="77777777" w:rsidTr="00D13537">
        <w:tc>
          <w:tcPr>
            <w:tcW w:w="9576" w:type="dxa"/>
            <w:tcBorders>
              <w:left w:val="nil"/>
              <w:right w:val="nil"/>
            </w:tcBorders>
          </w:tcPr>
          <w:p w14:paraId="565663C6" w14:textId="77777777" w:rsidR="00331933" w:rsidRPr="0038714C" w:rsidRDefault="00331933" w:rsidP="00D13537">
            <w:pPr>
              <w:jc w:val="center"/>
              <w:rPr>
                <w:sz w:val="32"/>
                <w:szCs w:val="32"/>
              </w:rPr>
            </w:pPr>
            <w:r>
              <w:rPr>
                <w:sz w:val="32"/>
                <w:szCs w:val="32"/>
              </w:rPr>
              <w:t>CONTACTS</w:t>
            </w:r>
          </w:p>
        </w:tc>
      </w:tr>
    </w:tbl>
    <w:p w14:paraId="36316FA8" w14:textId="77777777" w:rsidR="005413BE" w:rsidRDefault="005413BE" w:rsidP="0023640B">
      <w:pPr>
        <w:spacing w:after="0" w:line="240" w:lineRule="auto"/>
      </w:pPr>
    </w:p>
    <w:p w14:paraId="21953F0C" w14:textId="77777777" w:rsidR="001D3280" w:rsidRDefault="00B602A4" w:rsidP="00331933">
      <w:pPr>
        <w:spacing w:after="0" w:line="240" w:lineRule="auto"/>
        <w:rPr>
          <w:rStyle w:val="Hyperlink"/>
        </w:rPr>
      </w:pPr>
      <w:r>
        <w:t xml:space="preserve">Direct any questions about this policy to the UNM </w:t>
      </w:r>
      <w:r w:rsidR="003455F7">
        <w:t>Office of the University Secretary.</w:t>
      </w:r>
    </w:p>
    <w:p w14:paraId="75A07FFB" w14:textId="77777777" w:rsidR="00B602A4" w:rsidRDefault="00B602A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16630C71" w14:textId="77777777" w:rsidTr="00D13537">
        <w:tc>
          <w:tcPr>
            <w:tcW w:w="9576" w:type="dxa"/>
            <w:tcBorders>
              <w:left w:val="nil"/>
              <w:right w:val="nil"/>
            </w:tcBorders>
          </w:tcPr>
          <w:p w14:paraId="295AAB1C" w14:textId="77777777" w:rsidR="00331933" w:rsidRPr="0038714C" w:rsidRDefault="00331933" w:rsidP="005C757C">
            <w:pPr>
              <w:jc w:val="center"/>
              <w:rPr>
                <w:sz w:val="32"/>
                <w:szCs w:val="32"/>
              </w:rPr>
            </w:pPr>
            <w:r>
              <w:rPr>
                <w:sz w:val="32"/>
                <w:szCs w:val="32"/>
              </w:rPr>
              <w:t>PROCEDURES</w:t>
            </w:r>
          </w:p>
        </w:tc>
      </w:tr>
    </w:tbl>
    <w:p w14:paraId="70E11886" w14:textId="77777777" w:rsidR="009819B9" w:rsidRDefault="009819B9" w:rsidP="009819B9">
      <w:pPr>
        <w:tabs>
          <w:tab w:val="left" w:pos="360"/>
          <w:tab w:val="left" w:pos="720"/>
        </w:tabs>
        <w:spacing w:after="0" w:line="240" w:lineRule="auto"/>
        <w:rPr>
          <w:u w:val="single"/>
        </w:rPr>
      </w:pPr>
    </w:p>
    <w:p w14:paraId="0676C5D8" w14:textId="77777777" w:rsidR="00431EC7" w:rsidRPr="00096EF7" w:rsidRDefault="00431EC7" w:rsidP="00431EC7">
      <w:pPr>
        <w:spacing w:after="0" w:line="259" w:lineRule="auto"/>
        <w:ind w:left="-5"/>
        <w:rPr>
          <w:rFonts w:asciiTheme="minorHAnsi" w:eastAsia="Times New Roman" w:hAnsiTheme="minorHAnsi" w:cstheme="minorHAnsi"/>
          <w:color w:val="FF0000"/>
          <w:szCs w:val="24"/>
          <w:u w:val="single"/>
        </w:rPr>
      </w:pPr>
      <w:r w:rsidRPr="00096EF7">
        <w:rPr>
          <w:rFonts w:asciiTheme="minorHAnsi" w:eastAsia="Times New Roman" w:hAnsiTheme="minorHAnsi" w:cstheme="minorHAnsi"/>
          <w:color w:val="FF0000"/>
          <w:szCs w:val="24"/>
          <w:u w:val="single"/>
        </w:rPr>
        <w:t xml:space="preserve">The </w:t>
      </w:r>
      <w:r w:rsidR="00462A65" w:rsidRPr="00096EF7">
        <w:rPr>
          <w:rFonts w:asciiTheme="minorHAnsi" w:eastAsia="Times New Roman" w:hAnsiTheme="minorHAnsi" w:cstheme="minorHAnsi"/>
          <w:color w:val="FF0000"/>
          <w:szCs w:val="24"/>
          <w:u w:val="single"/>
        </w:rPr>
        <w:t>Teaching Enhancement</w:t>
      </w:r>
      <w:r w:rsidRPr="00096EF7">
        <w:rPr>
          <w:rFonts w:asciiTheme="minorHAnsi" w:eastAsia="Times New Roman" w:hAnsiTheme="minorHAnsi" w:cstheme="minorHAnsi"/>
          <w:color w:val="FF0000"/>
          <w:szCs w:val="24"/>
          <w:u w:val="single"/>
        </w:rPr>
        <w:t xml:space="preserve"> Committee will schedule regular meetings.</w:t>
      </w:r>
      <w:r w:rsidRPr="00096EF7">
        <w:rPr>
          <w:rFonts w:asciiTheme="minorHAnsi" w:eastAsia="Times New Roman" w:hAnsiTheme="minorHAnsi" w:cstheme="minorHAnsi"/>
          <w:color w:val="FF0000"/>
          <w:szCs w:val="24"/>
        </w:rPr>
        <w:t xml:space="preserve">  </w:t>
      </w:r>
      <w:r w:rsidRPr="00096EF7">
        <w:rPr>
          <w:rFonts w:asciiTheme="minorHAnsi" w:eastAsia="Times New Roman" w:hAnsiTheme="minorHAnsi" w:cstheme="minorHAnsi"/>
          <w:color w:val="FF0000"/>
          <w:szCs w:val="24"/>
          <w:u w:val="single"/>
        </w:rPr>
        <w:t xml:space="preserve">The Committee Chair will report Committee recommendations through the </w:t>
      </w:r>
      <w:r w:rsidR="00462A65" w:rsidRPr="00096EF7">
        <w:rPr>
          <w:rFonts w:asciiTheme="minorHAnsi" w:hAnsiTheme="minorHAnsi" w:cstheme="minorHAnsi"/>
          <w:color w:val="FF0000"/>
          <w:u w:val="single"/>
        </w:rPr>
        <w:t>Academic</w:t>
      </w:r>
      <w:r w:rsidRPr="00096EF7">
        <w:rPr>
          <w:rFonts w:asciiTheme="minorHAnsi" w:eastAsia="Times New Roman" w:hAnsiTheme="minorHAnsi" w:cstheme="minorHAnsi"/>
          <w:color w:val="FF0000"/>
          <w:szCs w:val="24"/>
          <w:u w:val="single"/>
        </w:rPr>
        <w:t xml:space="preserve"> Council for consideration by the Faculty Senate.   </w:t>
      </w:r>
    </w:p>
    <w:p w14:paraId="67244277" w14:textId="77777777" w:rsidR="003455F7" w:rsidRDefault="003455F7" w:rsidP="003455F7">
      <w:pPr>
        <w:pStyle w:val="ListParagraph"/>
        <w:spacing w:after="0" w:line="240" w:lineRule="auto"/>
        <w:ind w:left="1080"/>
      </w:pPr>
    </w:p>
    <w:tbl>
      <w:tblPr>
        <w:tblStyle w:val="TableGrid"/>
        <w:tblW w:w="9828" w:type="dxa"/>
        <w:tblLook w:val="04A0" w:firstRow="1" w:lastRow="0" w:firstColumn="1" w:lastColumn="0" w:noHBand="0" w:noVBand="1"/>
      </w:tblPr>
      <w:tblGrid>
        <w:gridCol w:w="9828"/>
      </w:tblGrid>
      <w:tr w:rsidR="003455F7" w:rsidRPr="0038714C" w14:paraId="053DBCBA" w14:textId="77777777" w:rsidTr="003B5CE4">
        <w:tc>
          <w:tcPr>
            <w:tcW w:w="9828" w:type="dxa"/>
            <w:tcBorders>
              <w:left w:val="nil"/>
              <w:right w:val="nil"/>
            </w:tcBorders>
          </w:tcPr>
          <w:p w14:paraId="7516C2D8" w14:textId="77777777" w:rsidR="003455F7" w:rsidRPr="002466AC" w:rsidRDefault="003455F7" w:rsidP="003B5CE4">
            <w:pPr>
              <w:jc w:val="center"/>
              <w:rPr>
                <w:sz w:val="32"/>
                <w:szCs w:val="32"/>
              </w:rPr>
            </w:pPr>
            <w:r w:rsidRPr="002466AC">
              <w:rPr>
                <w:sz w:val="32"/>
                <w:szCs w:val="32"/>
              </w:rPr>
              <w:t>HISTORY</w:t>
            </w:r>
          </w:p>
        </w:tc>
      </w:tr>
    </w:tbl>
    <w:p w14:paraId="2C7DE08C" w14:textId="77777777" w:rsidR="00D40EBB" w:rsidRDefault="00D40EBB" w:rsidP="00725649">
      <w:pPr>
        <w:spacing w:after="0" w:line="240" w:lineRule="auto"/>
        <w:rPr>
          <w:rFonts w:asciiTheme="minorHAnsi" w:hAnsiTheme="minorHAnsi" w:cs="Arial"/>
          <w:szCs w:val="24"/>
        </w:rPr>
      </w:pPr>
    </w:p>
    <w:p w14:paraId="741C1E71" w14:textId="77777777" w:rsidR="003455F7" w:rsidRDefault="001B2C65" w:rsidP="00725649">
      <w:pPr>
        <w:spacing w:after="0" w:line="240" w:lineRule="auto"/>
        <w:rPr>
          <w:color w:val="FF0000"/>
          <w:u w:val="single"/>
        </w:rPr>
      </w:pPr>
      <w:r w:rsidRPr="001B2C65">
        <w:rPr>
          <w:rFonts w:asciiTheme="minorHAnsi" w:hAnsiTheme="minorHAnsi" w:cs="Arial"/>
          <w:szCs w:val="24"/>
        </w:rPr>
        <w:t>March 22, 2011 – Approved by Faculty Senate</w:t>
      </w:r>
      <w:r w:rsidRPr="001B2C65">
        <w:rPr>
          <w:color w:val="FF0000"/>
          <w:u w:val="single"/>
        </w:rPr>
        <w:t xml:space="preserve"> </w:t>
      </w:r>
    </w:p>
    <w:p w14:paraId="75C8CF1B" w14:textId="77777777" w:rsidR="00D40EBB" w:rsidRDefault="00D40EBB" w:rsidP="00725649">
      <w:pPr>
        <w:spacing w:after="0" w:line="240" w:lineRule="auto"/>
        <w:rPr>
          <w:color w:val="FF0000"/>
          <w:u w:val="single"/>
        </w:rPr>
      </w:pPr>
    </w:p>
    <w:tbl>
      <w:tblPr>
        <w:tblStyle w:val="TableGrid"/>
        <w:tblW w:w="0" w:type="auto"/>
        <w:tblLook w:val="04A0" w:firstRow="1" w:lastRow="0" w:firstColumn="1" w:lastColumn="0" w:noHBand="0" w:noVBand="1"/>
      </w:tblPr>
      <w:tblGrid>
        <w:gridCol w:w="9360"/>
      </w:tblGrid>
      <w:tr w:rsidR="00D40EBB" w:rsidRPr="0038714C" w14:paraId="23E8EED2" w14:textId="77777777" w:rsidTr="001A3AEF">
        <w:tc>
          <w:tcPr>
            <w:tcW w:w="9576" w:type="dxa"/>
            <w:tcBorders>
              <w:left w:val="nil"/>
              <w:right w:val="nil"/>
            </w:tcBorders>
          </w:tcPr>
          <w:p w14:paraId="33BE3AF7" w14:textId="77777777" w:rsidR="00D40EBB" w:rsidRPr="0038714C" w:rsidRDefault="00D40EBB" w:rsidP="001A3AEF">
            <w:pPr>
              <w:jc w:val="center"/>
              <w:rPr>
                <w:sz w:val="32"/>
                <w:szCs w:val="32"/>
              </w:rPr>
            </w:pPr>
            <w:r>
              <w:rPr>
                <w:sz w:val="32"/>
                <w:szCs w:val="32"/>
              </w:rPr>
              <w:t>DRAFT HISTORY</w:t>
            </w:r>
          </w:p>
        </w:tc>
      </w:tr>
    </w:tbl>
    <w:p w14:paraId="3A1EC701" w14:textId="109EA1B8" w:rsidR="00D40EBB" w:rsidRPr="00FD1231" w:rsidRDefault="00FD1231" w:rsidP="00D40EBB">
      <w:pPr>
        <w:spacing w:after="0" w:line="240" w:lineRule="auto"/>
        <w:rPr>
          <w:color w:val="FF0000"/>
          <w:u w:val="single"/>
        </w:rPr>
      </w:pPr>
      <w:r w:rsidRPr="00FD1231">
        <w:rPr>
          <w:color w:val="FF0000"/>
          <w:u w:val="single"/>
        </w:rPr>
        <w:t>February 16, 2020 --typo</w:t>
      </w:r>
    </w:p>
    <w:p w14:paraId="4B053288" w14:textId="65DF2FB8" w:rsidR="006D75B1" w:rsidRPr="00FD1231" w:rsidRDefault="006D75B1" w:rsidP="00090D21">
      <w:pPr>
        <w:spacing w:after="0" w:line="259" w:lineRule="auto"/>
        <w:ind w:left="-5"/>
      </w:pPr>
      <w:r w:rsidRPr="00FD1231">
        <w:t>November 11, 2019</w:t>
      </w:r>
      <w:r w:rsidR="00A10E67" w:rsidRPr="00FD1231">
        <w:t>--</w:t>
      </w:r>
      <w:r w:rsidRPr="00FD1231">
        <w:t xml:space="preserve"> Draft updated to include TEC Committee recommendations.</w:t>
      </w:r>
    </w:p>
    <w:p w14:paraId="0D211165" w14:textId="4C7BF8D0" w:rsidR="00090D21" w:rsidRPr="006D75B1" w:rsidRDefault="00096EF7" w:rsidP="00090D21">
      <w:pPr>
        <w:spacing w:after="0" w:line="259" w:lineRule="auto"/>
        <w:ind w:left="-5"/>
      </w:pPr>
      <w:r w:rsidRPr="006D75B1">
        <w:t>October 9</w:t>
      </w:r>
      <w:r w:rsidR="00090D21" w:rsidRPr="006D75B1">
        <w:t>, 2019 – Draft updated to include recommendation for terms.</w:t>
      </w:r>
    </w:p>
    <w:p w14:paraId="7FA2C18F" w14:textId="2B925573" w:rsidR="005B579E" w:rsidRPr="00090D21" w:rsidRDefault="005B579E" w:rsidP="00431EC7">
      <w:pPr>
        <w:spacing w:after="0" w:line="259" w:lineRule="auto"/>
        <w:ind w:left="-5"/>
        <w:rPr>
          <w:color w:val="FF0000"/>
        </w:rPr>
      </w:pPr>
      <w:r w:rsidRPr="00090D21">
        <w:t>March 12, 2019—Draft updated for Faculty Senate action</w:t>
      </w:r>
    </w:p>
    <w:p w14:paraId="49C54D9A" w14:textId="23FEC39A" w:rsidR="00462A65" w:rsidRPr="005B579E" w:rsidRDefault="00CC3C98" w:rsidP="00431EC7">
      <w:pPr>
        <w:spacing w:after="0" w:line="259" w:lineRule="auto"/>
        <w:ind w:left="-5"/>
      </w:pPr>
      <w:r w:rsidRPr="005B579E">
        <w:t>January 30, 2018—Draft updated recent updates since 5/5/17 per Faculty Senate website.</w:t>
      </w:r>
    </w:p>
    <w:p w14:paraId="313ED76D" w14:textId="77777777" w:rsidR="00431EC7" w:rsidRPr="00CC3C98" w:rsidRDefault="00431EC7" w:rsidP="00431EC7">
      <w:pPr>
        <w:spacing w:after="0" w:line="259" w:lineRule="auto"/>
        <w:ind w:left="-5"/>
        <w:rPr>
          <w:rFonts w:asciiTheme="minorHAnsi" w:hAnsiTheme="minorHAnsi" w:cstheme="minorHAnsi"/>
        </w:rPr>
      </w:pPr>
      <w:r w:rsidRPr="00CC3C98">
        <w:rPr>
          <w:rFonts w:asciiTheme="minorHAnsi" w:hAnsiTheme="minorHAnsi" w:cstheme="minorHAnsi"/>
        </w:rPr>
        <w:t>May 10, 2017 –Minor revisions to and renumbering of the policy to address changes to Policy A60 “Faculty Senate Bylaws” resulting from reorganization of the Faculty Senate.</w:t>
      </w:r>
      <w:r w:rsidR="009904D2" w:rsidRPr="00CC3C98">
        <w:rPr>
          <w:rFonts w:asciiTheme="minorHAnsi" w:hAnsiTheme="minorHAnsi" w:cstheme="minorHAnsi"/>
        </w:rPr>
        <w:t xml:space="preserve">  Also replaced copy of portion of Regents Policy 1.6 with a link to Regents Policy 1.6. </w:t>
      </w:r>
      <w:r w:rsidRPr="00CC3C98">
        <w:rPr>
          <w:rFonts w:asciiTheme="minorHAnsi" w:hAnsiTheme="minorHAnsi" w:cstheme="minorHAnsi"/>
        </w:rPr>
        <w:t xml:space="preserve"> </w:t>
      </w:r>
    </w:p>
    <w:sectPr w:rsidR="00431EC7" w:rsidRPr="00CC3C98" w:rsidSect="000277F6">
      <w:headerReference w:type="even" r:id="rId10"/>
      <w:headerReference w:type="default" r:id="rId11"/>
      <w:footerReference w:type="even" r:id="rId12"/>
      <w:footerReference w:type="default" r:id="rId13"/>
      <w:headerReference w:type="first" r:id="rId14"/>
      <w:footerReference w:type="first" r:id="rId15"/>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EF8C2" w14:textId="77777777" w:rsidR="00F122B7" w:rsidRDefault="00F122B7" w:rsidP="00CB710D">
      <w:pPr>
        <w:spacing w:after="0" w:line="240" w:lineRule="auto"/>
      </w:pPr>
      <w:r>
        <w:separator/>
      </w:r>
    </w:p>
  </w:endnote>
  <w:endnote w:type="continuationSeparator" w:id="0">
    <w:p w14:paraId="5DF2CE9A" w14:textId="77777777" w:rsidR="00F122B7" w:rsidRDefault="00F122B7"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10D49" w14:textId="77777777" w:rsidR="000D37A3" w:rsidRDefault="000D37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24D456C2" w14:textId="5A74492C" w:rsidR="00D158AA" w:rsidRDefault="00D158AA">
            <w:pPr>
              <w:pStyle w:val="Footer"/>
              <w:pBdr>
                <w:bottom w:val="single" w:sz="12" w:space="1" w:color="auto"/>
              </w:pBdr>
              <w:jc w:val="center"/>
            </w:pPr>
          </w:p>
          <w:p w14:paraId="01112141" w14:textId="18CB0B28" w:rsidR="00112A45" w:rsidRDefault="00D158AA" w:rsidP="00D158AA">
            <w:pPr>
              <w:pStyle w:val="Footer"/>
            </w:pPr>
            <w:r w:rsidRPr="00D158AA">
              <w:rPr>
                <w:sz w:val="20"/>
                <w:szCs w:val="20"/>
              </w:rPr>
              <w:t xml:space="preserve">Policy </w:t>
            </w:r>
            <w:r w:rsidR="00431EC7">
              <w:rPr>
                <w:sz w:val="20"/>
                <w:szCs w:val="20"/>
              </w:rPr>
              <w:t>A6</w:t>
            </w:r>
            <w:r w:rsidR="00CC3C98">
              <w:rPr>
                <w:sz w:val="20"/>
                <w:szCs w:val="20"/>
              </w:rPr>
              <w:t>1.</w:t>
            </w:r>
            <w:r w:rsidR="005B579E">
              <w:rPr>
                <w:sz w:val="20"/>
                <w:szCs w:val="20"/>
              </w:rPr>
              <w:t>4</w:t>
            </w:r>
            <w:r w:rsidR="00C55E30">
              <w:rPr>
                <w:sz w:val="20"/>
                <w:szCs w:val="20"/>
              </w:rPr>
              <w:tab/>
            </w:r>
            <w:r w:rsidR="00D31BFC">
              <w:rPr>
                <w:sz w:val="20"/>
                <w:szCs w:val="20"/>
              </w:rPr>
              <w:t xml:space="preserve"> </w:t>
            </w:r>
            <w:r w:rsidRPr="00D64684">
              <w:rPr>
                <w:sz w:val="20"/>
                <w:szCs w:val="20"/>
              </w:rPr>
              <w:t>”</w:t>
            </w:r>
            <w:r w:rsidR="00462A65">
              <w:rPr>
                <w:b/>
                <w:sz w:val="20"/>
                <w:szCs w:val="20"/>
              </w:rPr>
              <w:t>Teaching Enhancement</w:t>
            </w:r>
            <w:r w:rsidR="00D40EBB">
              <w:rPr>
                <w:b/>
                <w:sz w:val="20"/>
                <w:szCs w:val="20"/>
              </w:rPr>
              <w:t xml:space="preserve"> </w:t>
            </w:r>
            <w:r w:rsidR="003455F7" w:rsidRPr="003455F7">
              <w:rPr>
                <w:b/>
                <w:sz w:val="20"/>
                <w:szCs w:val="20"/>
              </w:rPr>
              <w:t>Committee</w:t>
            </w:r>
            <w:r w:rsidR="00A778E4">
              <w:rPr>
                <w:sz w:val="20"/>
                <w:szCs w:val="20"/>
              </w:rPr>
              <w:t>”</w:t>
            </w:r>
            <w:r w:rsidR="00AC653B">
              <w:rPr>
                <w:sz w:val="20"/>
                <w:szCs w:val="20"/>
              </w:rPr>
              <w:t xml:space="preserve">   </w:t>
            </w:r>
            <w:r w:rsidR="00462A65" w:rsidRPr="00462A65">
              <w:rPr>
                <w:b/>
                <w:color w:val="FF0000"/>
                <w:sz w:val="20"/>
                <w:szCs w:val="20"/>
              </w:rPr>
              <w:t xml:space="preserve">DRAFT </w:t>
            </w:r>
            <w:r w:rsidR="000D37A3">
              <w:rPr>
                <w:b/>
                <w:color w:val="FF0000"/>
                <w:sz w:val="20"/>
                <w:szCs w:val="20"/>
              </w:rPr>
              <w:t>2/10</w:t>
            </w:r>
            <w:r w:rsidR="00CE197B">
              <w:rPr>
                <w:b/>
                <w:color w:val="FF0000"/>
                <w:sz w:val="20"/>
                <w:szCs w:val="20"/>
              </w:rPr>
              <w:t>/20</w:t>
            </w:r>
            <w:r>
              <w:tab/>
            </w:r>
            <w:r w:rsidR="00112A45" w:rsidRPr="00624CAB">
              <w:rPr>
                <w:sz w:val="20"/>
                <w:szCs w:val="20"/>
              </w:rPr>
              <w:t xml:space="preserve">Page </w:t>
            </w:r>
            <w:r w:rsidR="00112A45" w:rsidRPr="00624CAB">
              <w:rPr>
                <w:bCs/>
                <w:sz w:val="20"/>
                <w:szCs w:val="20"/>
              </w:rPr>
              <w:fldChar w:fldCharType="begin"/>
            </w:r>
            <w:r w:rsidR="00112A45" w:rsidRPr="00624CAB">
              <w:rPr>
                <w:bCs/>
                <w:sz w:val="20"/>
                <w:szCs w:val="20"/>
              </w:rPr>
              <w:instrText xml:space="preserve"> PAGE </w:instrText>
            </w:r>
            <w:r w:rsidR="00112A45" w:rsidRPr="00624CAB">
              <w:rPr>
                <w:bCs/>
                <w:sz w:val="20"/>
                <w:szCs w:val="20"/>
              </w:rPr>
              <w:fldChar w:fldCharType="separate"/>
            </w:r>
            <w:r w:rsidR="00462A65">
              <w:rPr>
                <w:bCs/>
                <w:noProof/>
                <w:sz w:val="20"/>
                <w:szCs w:val="20"/>
              </w:rPr>
              <w:t>3</w:t>
            </w:r>
            <w:r w:rsidR="00112A45" w:rsidRPr="00624CAB">
              <w:rPr>
                <w:bCs/>
                <w:sz w:val="20"/>
                <w:szCs w:val="20"/>
              </w:rPr>
              <w:fldChar w:fldCharType="end"/>
            </w:r>
            <w:r w:rsidR="00112A45" w:rsidRPr="00624CAB">
              <w:rPr>
                <w:sz w:val="20"/>
                <w:szCs w:val="20"/>
              </w:rPr>
              <w:t xml:space="preserve"> of </w:t>
            </w:r>
            <w:r w:rsidR="00112A45" w:rsidRPr="00624CAB">
              <w:rPr>
                <w:bCs/>
                <w:sz w:val="20"/>
                <w:szCs w:val="20"/>
              </w:rPr>
              <w:fldChar w:fldCharType="begin"/>
            </w:r>
            <w:r w:rsidR="00112A45" w:rsidRPr="00624CAB">
              <w:rPr>
                <w:bCs/>
                <w:sz w:val="20"/>
                <w:szCs w:val="20"/>
              </w:rPr>
              <w:instrText xml:space="preserve"> NUMPAGES  </w:instrText>
            </w:r>
            <w:r w:rsidR="00112A45" w:rsidRPr="00624CAB">
              <w:rPr>
                <w:bCs/>
                <w:sz w:val="20"/>
                <w:szCs w:val="20"/>
              </w:rPr>
              <w:fldChar w:fldCharType="separate"/>
            </w:r>
            <w:r w:rsidR="00462A65">
              <w:rPr>
                <w:bCs/>
                <w:noProof/>
                <w:sz w:val="20"/>
                <w:szCs w:val="20"/>
              </w:rPr>
              <w:t>3</w:t>
            </w:r>
            <w:r w:rsidR="00112A45" w:rsidRPr="00624CAB">
              <w:rPr>
                <w:bCs/>
                <w:sz w:val="20"/>
                <w:szCs w:val="20"/>
              </w:rPr>
              <w:fldChar w:fldCharType="end"/>
            </w:r>
          </w:p>
        </w:sdtContent>
      </w:sdt>
    </w:sdtContent>
  </w:sdt>
  <w:p w14:paraId="093566C0" w14:textId="77777777" w:rsidR="00112A45" w:rsidRDefault="00112A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E523" w14:textId="77777777" w:rsidR="000D37A3" w:rsidRDefault="000D3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E0499" w14:textId="77777777" w:rsidR="00F122B7" w:rsidRDefault="00F122B7" w:rsidP="00CB710D">
      <w:pPr>
        <w:spacing w:after="0" w:line="240" w:lineRule="auto"/>
      </w:pPr>
      <w:r>
        <w:separator/>
      </w:r>
    </w:p>
  </w:footnote>
  <w:footnote w:type="continuationSeparator" w:id="0">
    <w:p w14:paraId="4585BC78" w14:textId="77777777" w:rsidR="00F122B7" w:rsidRDefault="00F122B7" w:rsidP="00CB7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452F8" w14:textId="77777777" w:rsidR="000D37A3" w:rsidRDefault="000D37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B8E91" w14:textId="77777777" w:rsidR="000D37A3" w:rsidRDefault="000D37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5E251" w14:textId="77777777" w:rsidR="000D37A3" w:rsidRDefault="000D37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4A674E"/>
    <w:multiLevelType w:val="hybridMultilevel"/>
    <w:tmpl w:val="C5BA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5"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9"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0"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9"/>
  </w:num>
  <w:num w:numId="4">
    <w:abstractNumId w:val="8"/>
  </w:num>
  <w:num w:numId="5">
    <w:abstractNumId w:val="12"/>
  </w:num>
  <w:num w:numId="6">
    <w:abstractNumId w:val="5"/>
  </w:num>
  <w:num w:numId="7">
    <w:abstractNumId w:val="6"/>
  </w:num>
  <w:num w:numId="8">
    <w:abstractNumId w:val="0"/>
  </w:num>
  <w:num w:numId="9">
    <w:abstractNumId w:val="17"/>
  </w:num>
  <w:num w:numId="10">
    <w:abstractNumId w:val="11"/>
  </w:num>
  <w:num w:numId="11">
    <w:abstractNumId w:val="10"/>
  </w:num>
  <w:num w:numId="12">
    <w:abstractNumId w:val="15"/>
  </w:num>
  <w:num w:numId="13">
    <w:abstractNumId w:val="16"/>
  </w:num>
  <w:num w:numId="14">
    <w:abstractNumId w:val="22"/>
  </w:num>
  <w:num w:numId="15">
    <w:abstractNumId w:val="13"/>
  </w:num>
  <w:num w:numId="16">
    <w:abstractNumId w:val="1"/>
  </w:num>
  <w:num w:numId="17">
    <w:abstractNumId w:val="3"/>
  </w:num>
  <w:num w:numId="18">
    <w:abstractNumId w:val="7"/>
  </w:num>
  <w:num w:numId="19">
    <w:abstractNumId w:val="19"/>
  </w:num>
  <w:num w:numId="20">
    <w:abstractNumId w:val="14"/>
  </w:num>
  <w:num w:numId="21">
    <w:abstractNumId w:val="2"/>
  </w:num>
  <w:num w:numId="22">
    <w:abstractNumId w:val="2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77F6"/>
    <w:rsid w:val="0003566B"/>
    <w:rsid w:val="00054C61"/>
    <w:rsid w:val="000565D3"/>
    <w:rsid w:val="000779E0"/>
    <w:rsid w:val="00090D21"/>
    <w:rsid w:val="000959BF"/>
    <w:rsid w:val="00096EF7"/>
    <w:rsid w:val="000A751F"/>
    <w:rsid w:val="000B547D"/>
    <w:rsid w:val="000B6155"/>
    <w:rsid w:val="000D2781"/>
    <w:rsid w:val="000D37A3"/>
    <w:rsid w:val="000E35AA"/>
    <w:rsid w:val="000E5E8F"/>
    <w:rsid w:val="00112A45"/>
    <w:rsid w:val="00121853"/>
    <w:rsid w:val="00131E2E"/>
    <w:rsid w:val="00133F5E"/>
    <w:rsid w:val="00134039"/>
    <w:rsid w:val="00157EE8"/>
    <w:rsid w:val="0016712C"/>
    <w:rsid w:val="00173F24"/>
    <w:rsid w:val="00182A73"/>
    <w:rsid w:val="0019125E"/>
    <w:rsid w:val="001A0B76"/>
    <w:rsid w:val="001A356F"/>
    <w:rsid w:val="001B2C65"/>
    <w:rsid w:val="001B43D5"/>
    <w:rsid w:val="001B5C61"/>
    <w:rsid w:val="001C6EE7"/>
    <w:rsid w:val="001D3280"/>
    <w:rsid w:val="001D4B70"/>
    <w:rsid w:val="001D4FD5"/>
    <w:rsid w:val="001E1D93"/>
    <w:rsid w:val="001F438C"/>
    <w:rsid w:val="00222157"/>
    <w:rsid w:val="00232C6F"/>
    <w:rsid w:val="00234D41"/>
    <w:rsid w:val="0023640B"/>
    <w:rsid w:val="00240135"/>
    <w:rsid w:val="00242DAA"/>
    <w:rsid w:val="002653B5"/>
    <w:rsid w:val="002655D8"/>
    <w:rsid w:val="00274075"/>
    <w:rsid w:val="00274E3F"/>
    <w:rsid w:val="0028073B"/>
    <w:rsid w:val="00287C30"/>
    <w:rsid w:val="002A29F3"/>
    <w:rsid w:val="002F5FB3"/>
    <w:rsid w:val="0031180E"/>
    <w:rsid w:val="00331933"/>
    <w:rsid w:val="00334FE6"/>
    <w:rsid w:val="003455F7"/>
    <w:rsid w:val="00352044"/>
    <w:rsid w:val="003739C3"/>
    <w:rsid w:val="0037521F"/>
    <w:rsid w:val="0038714C"/>
    <w:rsid w:val="003C3271"/>
    <w:rsid w:val="003C76F1"/>
    <w:rsid w:val="003D4A08"/>
    <w:rsid w:val="003F2ABD"/>
    <w:rsid w:val="003F2E25"/>
    <w:rsid w:val="004063E0"/>
    <w:rsid w:val="00423E65"/>
    <w:rsid w:val="004247F2"/>
    <w:rsid w:val="00431EC7"/>
    <w:rsid w:val="004428C5"/>
    <w:rsid w:val="00447033"/>
    <w:rsid w:val="00451646"/>
    <w:rsid w:val="00462A65"/>
    <w:rsid w:val="00477453"/>
    <w:rsid w:val="004844F1"/>
    <w:rsid w:val="00493C3C"/>
    <w:rsid w:val="004C008D"/>
    <w:rsid w:val="004D364A"/>
    <w:rsid w:val="004F39D9"/>
    <w:rsid w:val="00503961"/>
    <w:rsid w:val="00510DCA"/>
    <w:rsid w:val="00511C43"/>
    <w:rsid w:val="005155E2"/>
    <w:rsid w:val="00525569"/>
    <w:rsid w:val="005267D4"/>
    <w:rsid w:val="00526C8D"/>
    <w:rsid w:val="00534A34"/>
    <w:rsid w:val="00540718"/>
    <w:rsid w:val="005413BE"/>
    <w:rsid w:val="00543458"/>
    <w:rsid w:val="005444D3"/>
    <w:rsid w:val="005476FA"/>
    <w:rsid w:val="00575B41"/>
    <w:rsid w:val="005925E4"/>
    <w:rsid w:val="005B579E"/>
    <w:rsid w:val="005C4F99"/>
    <w:rsid w:val="005C757C"/>
    <w:rsid w:val="005E301F"/>
    <w:rsid w:val="00612934"/>
    <w:rsid w:val="006217AA"/>
    <w:rsid w:val="00624CAB"/>
    <w:rsid w:val="00632F90"/>
    <w:rsid w:val="00664248"/>
    <w:rsid w:val="0069767F"/>
    <w:rsid w:val="006B56ED"/>
    <w:rsid w:val="006D0EA1"/>
    <w:rsid w:val="006D251C"/>
    <w:rsid w:val="006D735A"/>
    <w:rsid w:val="006D75B1"/>
    <w:rsid w:val="006E78A1"/>
    <w:rsid w:val="00716C9E"/>
    <w:rsid w:val="007171FB"/>
    <w:rsid w:val="00725649"/>
    <w:rsid w:val="007320E9"/>
    <w:rsid w:val="007416E1"/>
    <w:rsid w:val="00754DCB"/>
    <w:rsid w:val="00760A1E"/>
    <w:rsid w:val="007636FD"/>
    <w:rsid w:val="00766C76"/>
    <w:rsid w:val="00776DC2"/>
    <w:rsid w:val="00793C1C"/>
    <w:rsid w:val="007B4CD9"/>
    <w:rsid w:val="007D33BF"/>
    <w:rsid w:val="007E427D"/>
    <w:rsid w:val="007E54C8"/>
    <w:rsid w:val="007F03E6"/>
    <w:rsid w:val="007F3F04"/>
    <w:rsid w:val="00805214"/>
    <w:rsid w:val="0081032A"/>
    <w:rsid w:val="008217D7"/>
    <w:rsid w:val="008312B3"/>
    <w:rsid w:val="00837A4C"/>
    <w:rsid w:val="00881D79"/>
    <w:rsid w:val="00886C0F"/>
    <w:rsid w:val="00894577"/>
    <w:rsid w:val="008B3C9B"/>
    <w:rsid w:val="008C1157"/>
    <w:rsid w:val="008D2390"/>
    <w:rsid w:val="009004E0"/>
    <w:rsid w:val="00902DB5"/>
    <w:rsid w:val="00905E77"/>
    <w:rsid w:val="00910E74"/>
    <w:rsid w:val="0091511A"/>
    <w:rsid w:val="00924C69"/>
    <w:rsid w:val="00933813"/>
    <w:rsid w:val="0096275E"/>
    <w:rsid w:val="009819B9"/>
    <w:rsid w:val="00987621"/>
    <w:rsid w:val="009904D2"/>
    <w:rsid w:val="00992B62"/>
    <w:rsid w:val="00993301"/>
    <w:rsid w:val="009C5C6E"/>
    <w:rsid w:val="009C698A"/>
    <w:rsid w:val="009C7DF1"/>
    <w:rsid w:val="009E12AC"/>
    <w:rsid w:val="009E315C"/>
    <w:rsid w:val="009E6634"/>
    <w:rsid w:val="00A023E2"/>
    <w:rsid w:val="00A074F4"/>
    <w:rsid w:val="00A10489"/>
    <w:rsid w:val="00A10E67"/>
    <w:rsid w:val="00A4127B"/>
    <w:rsid w:val="00A778E4"/>
    <w:rsid w:val="00A91A48"/>
    <w:rsid w:val="00A92459"/>
    <w:rsid w:val="00AC2918"/>
    <w:rsid w:val="00AC653B"/>
    <w:rsid w:val="00AE3F93"/>
    <w:rsid w:val="00AE48CD"/>
    <w:rsid w:val="00B251D1"/>
    <w:rsid w:val="00B3129C"/>
    <w:rsid w:val="00B35DF6"/>
    <w:rsid w:val="00B41225"/>
    <w:rsid w:val="00B43FAD"/>
    <w:rsid w:val="00B447F6"/>
    <w:rsid w:val="00B44FD2"/>
    <w:rsid w:val="00B508E6"/>
    <w:rsid w:val="00B602A4"/>
    <w:rsid w:val="00B70C62"/>
    <w:rsid w:val="00B73168"/>
    <w:rsid w:val="00B815F7"/>
    <w:rsid w:val="00B8650F"/>
    <w:rsid w:val="00BA2783"/>
    <w:rsid w:val="00BC1DBB"/>
    <w:rsid w:val="00BE7827"/>
    <w:rsid w:val="00BF350E"/>
    <w:rsid w:val="00C02EBC"/>
    <w:rsid w:val="00C07159"/>
    <w:rsid w:val="00C318E3"/>
    <w:rsid w:val="00C37293"/>
    <w:rsid w:val="00C42F71"/>
    <w:rsid w:val="00C43ED5"/>
    <w:rsid w:val="00C55E30"/>
    <w:rsid w:val="00C61047"/>
    <w:rsid w:val="00C65351"/>
    <w:rsid w:val="00C83186"/>
    <w:rsid w:val="00CA2943"/>
    <w:rsid w:val="00CA5AA3"/>
    <w:rsid w:val="00CB2D4D"/>
    <w:rsid w:val="00CB710D"/>
    <w:rsid w:val="00CC3C98"/>
    <w:rsid w:val="00CD6022"/>
    <w:rsid w:val="00CD7DA0"/>
    <w:rsid w:val="00CE197B"/>
    <w:rsid w:val="00CE5A6E"/>
    <w:rsid w:val="00CF17B9"/>
    <w:rsid w:val="00CF423C"/>
    <w:rsid w:val="00D158AA"/>
    <w:rsid w:val="00D31BFC"/>
    <w:rsid w:val="00D40EBB"/>
    <w:rsid w:val="00D64684"/>
    <w:rsid w:val="00D770BA"/>
    <w:rsid w:val="00D874AD"/>
    <w:rsid w:val="00D929C7"/>
    <w:rsid w:val="00DB2D48"/>
    <w:rsid w:val="00DB714E"/>
    <w:rsid w:val="00DC33C6"/>
    <w:rsid w:val="00DD2DA4"/>
    <w:rsid w:val="00DD341F"/>
    <w:rsid w:val="00DD3A24"/>
    <w:rsid w:val="00E0598D"/>
    <w:rsid w:val="00E33E49"/>
    <w:rsid w:val="00E3682C"/>
    <w:rsid w:val="00E45EC7"/>
    <w:rsid w:val="00E625CD"/>
    <w:rsid w:val="00E864C6"/>
    <w:rsid w:val="00E92898"/>
    <w:rsid w:val="00E96D37"/>
    <w:rsid w:val="00EA59CF"/>
    <w:rsid w:val="00EC4641"/>
    <w:rsid w:val="00ED11D1"/>
    <w:rsid w:val="00ED1BB4"/>
    <w:rsid w:val="00EE1738"/>
    <w:rsid w:val="00EE56F4"/>
    <w:rsid w:val="00EE60F6"/>
    <w:rsid w:val="00EF3727"/>
    <w:rsid w:val="00F00F8A"/>
    <w:rsid w:val="00F04ED0"/>
    <w:rsid w:val="00F103EE"/>
    <w:rsid w:val="00F11736"/>
    <w:rsid w:val="00F122B7"/>
    <w:rsid w:val="00F20F1D"/>
    <w:rsid w:val="00F27F9F"/>
    <w:rsid w:val="00F3192F"/>
    <w:rsid w:val="00F3702C"/>
    <w:rsid w:val="00F4069D"/>
    <w:rsid w:val="00F4664F"/>
    <w:rsid w:val="00F54EFD"/>
    <w:rsid w:val="00F716C1"/>
    <w:rsid w:val="00F73CDC"/>
    <w:rsid w:val="00FA0752"/>
    <w:rsid w:val="00FB0FED"/>
    <w:rsid w:val="00FB1BBC"/>
    <w:rsid w:val="00FC5674"/>
    <w:rsid w:val="00FD1231"/>
    <w:rsid w:val="00FD357F"/>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5EC78"/>
  <w15:docId w15:val="{89033168-8337-4AF0-99A3-39D280BE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paragraph" w:styleId="Heading2">
    <w:name w:val="heading 2"/>
    <w:basedOn w:val="Normal"/>
    <w:link w:val="Heading2Char"/>
    <w:uiPriority w:val="9"/>
    <w:qFormat/>
    <w:rsid w:val="00575B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FollowedHyperlink">
    <w:name w:val="FollowedHyperlink"/>
    <w:basedOn w:val="DefaultParagraphFont"/>
    <w:uiPriority w:val="99"/>
    <w:semiHidden/>
    <w:unhideWhenUsed/>
    <w:rsid w:val="00933813"/>
    <w:rPr>
      <w:color w:val="800080" w:themeColor="followedHyperlink"/>
      <w:u w:val="single"/>
    </w:rPr>
  </w:style>
  <w:style w:type="paragraph" w:customStyle="1" w:styleId="xmsolistparagraph">
    <w:name w:val="x_msolistparagraph"/>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paragraph" w:customStyle="1" w:styleId="xmsonormal">
    <w:name w:val="x_msonormal"/>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575B41"/>
    <w:rPr>
      <w:rFonts w:ascii="Times New Roman" w:eastAsia="Times New Roman" w:hAnsi="Times New Roman" w:cs="Times New Roman"/>
      <w:b/>
      <w:bCs/>
      <w:sz w:val="36"/>
      <w:szCs w:val="36"/>
    </w:rPr>
  </w:style>
  <w:style w:type="character" w:styleId="Emphasis">
    <w:name w:val="Emphasis"/>
    <w:basedOn w:val="DefaultParagraphFont"/>
    <w:uiPriority w:val="20"/>
    <w:qFormat/>
    <w:rsid w:val="00575B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7812133">
      <w:bodyDiv w:val="1"/>
      <w:marLeft w:val="0"/>
      <w:marRight w:val="0"/>
      <w:marTop w:val="0"/>
      <w:marBottom w:val="0"/>
      <w:divBdr>
        <w:top w:val="none" w:sz="0" w:space="0" w:color="auto"/>
        <w:left w:val="none" w:sz="0" w:space="0" w:color="auto"/>
        <w:bottom w:val="none" w:sz="0" w:space="0" w:color="auto"/>
        <w:right w:val="none" w:sz="0" w:space="0" w:color="auto"/>
      </w:divBdr>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411719">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1879318274">
      <w:bodyDiv w:val="1"/>
      <w:marLeft w:val="0"/>
      <w:marRight w:val="0"/>
      <w:marTop w:val="0"/>
      <w:marBottom w:val="0"/>
      <w:divBdr>
        <w:top w:val="none" w:sz="0" w:space="0" w:color="auto"/>
        <w:left w:val="none" w:sz="0" w:space="0" w:color="auto"/>
        <w:bottom w:val="none" w:sz="0" w:space="0" w:color="auto"/>
        <w:right w:val="none" w:sz="0" w:space="0" w:color="auto"/>
      </w:divBdr>
    </w:div>
    <w:div w:id="1924415441">
      <w:bodyDiv w:val="1"/>
      <w:marLeft w:val="0"/>
      <w:marRight w:val="0"/>
      <w:marTop w:val="0"/>
      <w:marBottom w:val="0"/>
      <w:divBdr>
        <w:top w:val="none" w:sz="0" w:space="0" w:color="auto"/>
        <w:left w:val="none" w:sz="0" w:space="0" w:color="auto"/>
        <w:bottom w:val="none" w:sz="0" w:space="0" w:color="auto"/>
        <w:right w:val="none" w:sz="0" w:space="0" w:color="auto"/>
      </w:divBdr>
    </w:div>
    <w:div w:id="2055496377">
      <w:bodyDiv w:val="1"/>
      <w:marLeft w:val="0"/>
      <w:marRight w:val="0"/>
      <w:marTop w:val="0"/>
      <w:marBottom w:val="0"/>
      <w:divBdr>
        <w:top w:val="none" w:sz="0" w:space="0" w:color="auto"/>
        <w:left w:val="none" w:sz="0" w:space="0" w:color="auto"/>
        <w:bottom w:val="none" w:sz="0" w:space="0" w:color="auto"/>
        <w:right w:val="none" w:sz="0" w:space="0" w:color="auto"/>
      </w:divBdr>
    </w:div>
    <w:div w:id="207146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A7B78-FD33-4461-B6E9-AD4CC59E4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Carol Stephens</cp:lastModifiedBy>
  <cp:revision>2</cp:revision>
  <cp:lastPrinted>2020-02-16T22:26:00Z</cp:lastPrinted>
  <dcterms:created xsi:type="dcterms:W3CDTF">2020-03-08T22:31:00Z</dcterms:created>
  <dcterms:modified xsi:type="dcterms:W3CDTF">2020-03-08T22:31:00Z</dcterms:modified>
</cp:coreProperties>
</file>